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518" w14:textId="1F38BD75" w:rsidR="00030F8D" w:rsidRPr="00E80A7F" w:rsidRDefault="008B24D9" w:rsidP="00E80A7F">
      <w:pPr>
        <w:pStyle w:val="Listenabsatz"/>
        <w:numPr>
          <w:ilvl w:val="0"/>
          <w:numId w:val="13"/>
        </w:numPr>
        <w:rPr>
          <w:rFonts w:eastAsia="Times New Roman" w:cstheme="minorHAnsi"/>
          <w:b/>
          <w:bCs/>
          <w:sz w:val="24"/>
          <w:szCs w:val="24"/>
          <w14:ligatures w14:val="none"/>
        </w:rPr>
      </w:pPr>
      <w:r w:rsidRPr="00E80A7F">
        <w:rPr>
          <w:rFonts w:eastAsia="Times New Roman" w:cstheme="minorHAnsi"/>
          <w:b/>
          <w:bCs/>
          <w:sz w:val="24"/>
          <w:szCs w:val="24"/>
          <w14:ligatures w14:val="none"/>
        </w:rPr>
        <w:t>Zweck:</w:t>
      </w:r>
    </w:p>
    <w:p w14:paraId="71E465F6" w14:textId="1869AC64" w:rsidR="00B66995" w:rsidRPr="004A1FF4" w:rsidRDefault="00B66995" w:rsidP="004A1FF4">
      <w:pPr>
        <w:rPr>
          <w:sz w:val="24"/>
          <w:szCs w:val="24"/>
          <w:lang w:eastAsia="de-DE"/>
        </w:rPr>
      </w:pPr>
      <w:r w:rsidRPr="004A1FF4">
        <w:rPr>
          <w:rFonts w:cstheme="minorHAnsi"/>
          <w:sz w:val="24"/>
          <w:szCs w:val="24"/>
        </w:rPr>
        <w:t xml:space="preserve">Diese Arbeitsanweisung beschreibt die ordnungsgemäße </w:t>
      </w:r>
      <w:r w:rsidR="00D35877" w:rsidRPr="004A1FF4">
        <w:rPr>
          <w:rFonts w:cstheme="minorHAnsi"/>
          <w:sz w:val="24"/>
          <w:szCs w:val="24"/>
        </w:rPr>
        <w:t>Einholung des Einverständnisses.</w:t>
      </w:r>
      <w:r w:rsidR="004A1FF4" w:rsidRPr="004A1FF4">
        <w:rPr>
          <w:rFonts w:cstheme="minorHAnsi"/>
          <w:sz w:val="24"/>
          <w:szCs w:val="24"/>
        </w:rPr>
        <w:t xml:space="preserve"> </w:t>
      </w:r>
      <w:r w:rsidR="00DB474B" w:rsidRPr="004A1FF4">
        <w:rPr>
          <w:sz w:val="24"/>
          <w:szCs w:val="24"/>
        </w:rPr>
        <w:t xml:space="preserve">Es </w:t>
      </w:r>
      <w:r w:rsidR="004A5A21" w:rsidRPr="004A1FF4">
        <w:rPr>
          <w:sz w:val="24"/>
          <w:szCs w:val="24"/>
          <w:lang w:eastAsia="de-DE"/>
        </w:rPr>
        <w:t>soll gewährleiste</w:t>
      </w:r>
      <w:r w:rsidR="00DB474B" w:rsidRPr="004A1FF4">
        <w:rPr>
          <w:sz w:val="24"/>
          <w:szCs w:val="24"/>
          <w:lang w:eastAsia="de-DE"/>
        </w:rPr>
        <w:t>t</w:t>
      </w:r>
      <w:r w:rsidR="004A1FF4" w:rsidRPr="004A1FF4">
        <w:rPr>
          <w:sz w:val="24"/>
          <w:szCs w:val="24"/>
          <w:lang w:eastAsia="de-DE"/>
        </w:rPr>
        <w:t xml:space="preserve"> sein </w:t>
      </w:r>
      <w:r w:rsidR="004A5A21" w:rsidRPr="004A1FF4">
        <w:rPr>
          <w:sz w:val="24"/>
          <w:szCs w:val="24"/>
          <w:lang w:eastAsia="de-DE"/>
        </w:rPr>
        <w:t>, dass v</w:t>
      </w:r>
      <w:r w:rsidR="008B24D9" w:rsidRPr="004A1FF4">
        <w:rPr>
          <w:sz w:val="24"/>
          <w:szCs w:val="24"/>
          <w:lang w:eastAsia="de-DE"/>
        </w:rPr>
        <w:t xml:space="preserve">or der freiwilligen Teilnahme an einer klinischen Studie </w:t>
      </w:r>
      <w:r w:rsidR="004A5A21" w:rsidRPr="004A1FF4">
        <w:rPr>
          <w:sz w:val="24"/>
          <w:szCs w:val="24"/>
          <w:lang w:eastAsia="de-DE"/>
        </w:rPr>
        <w:t>jeder</w:t>
      </w:r>
      <w:r w:rsidR="004A1FF4" w:rsidRPr="004A1FF4">
        <w:rPr>
          <w:sz w:val="24"/>
          <w:szCs w:val="24"/>
          <w:lang w:eastAsia="de-DE"/>
        </w:rPr>
        <w:t xml:space="preserve"> </w:t>
      </w:r>
      <w:r w:rsidR="008B24D9" w:rsidRPr="004A1FF4">
        <w:rPr>
          <w:sz w:val="24"/>
          <w:szCs w:val="24"/>
          <w:lang w:eastAsia="de-DE"/>
        </w:rPr>
        <w:t xml:space="preserve">Studienteilnehmer (Patient oder Proband) nach § 40 </w:t>
      </w:r>
      <w:hyperlink r:id="rId7" w:tooltip="AMG" w:history="1">
        <w:r w:rsidR="008B24D9" w:rsidRPr="004A1FF4">
          <w:rPr>
            <w:rStyle w:val="Hyperlink"/>
            <w:rFonts w:eastAsia="Times" w:cstheme="minorHAnsi"/>
            <w:color w:val="auto"/>
            <w:kern w:val="0"/>
            <w:sz w:val="24"/>
            <w:szCs w:val="24"/>
            <w:u w:val="none"/>
            <w:lang w:eastAsia="de-DE"/>
            <w14:ligatures w14:val="none"/>
          </w:rPr>
          <w:t>AMG</w:t>
        </w:r>
      </w:hyperlink>
      <w:r w:rsidR="008B24D9" w:rsidRPr="004A1FF4">
        <w:rPr>
          <w:sz w:val="24"/>
          <w:szCs w:val="24"/>
          <w:lang w:eastAsia="de-DE"/>
        </w:rPr>
        <w:t xml:space="preserve">, § 20 </w:t>
      </w:r>
      <w:hyperlink r:id="rId8" w:tooltip="MPG" w:history="1">
        <w:r w:rsidR="008B24D9" w:rsidRPr="004A1FF4">
          <w:rPr>
            <w:rStyle w:val="Hyperlink"/>
            <w:rFonts w:eastAsia="Times" w:cstheme="minorHAnsi"/>
            <w:color w:val="auto"/>
            <w:kern w:val="0"/>
            <w:sz w:val="24"/>
            <w:szCs w:val="24"/>
            <w:u w:val="none"/>
            <w:lang w:eastAsia="de-DE"/>
            <w14:ligatures w14:val="none"/>
          </w:rPr>
          <w:t>MPG</w:t>
        </w:r>
      </w:hyperlink>
      <w:r w:rsidR="008B24D9" w:rsidRPr="004A1FF4">
        <w:rPr>
          <w:sz w:val="24"/>
          <w:szCs w:val="24"/>
          <w:lang w:eastAsia="de-DE"/>
        </w:rPr>
        <w:t xml:space="preserve">, § 3 (2b) der </w:t>
      </w:r>
      <w:hyperlink r:id="rId9" w:history="1">
        <w:r w:rsidR="008B24D9" w:rsidRPr="004A1FF4">
          <w:rPr>
            <w:rStyle w:val="Hyperlink"/>
            <w:rFonts w:eastAsia="Times" w:cstheme="minorHAnsi"/>
            <w:color w:val="auto"/>
            <w:kern w:val="0"/>
            <w:sz w:val="24"/>
            <w:szCs w:val="24"/>
            <w:u w:val="none"/>
            <w:lang w:eastAsia="de-DE"/>
            <w14:ligatures w14:val="none"/>
          </w:rPr>
          <w:t>GCP</w:t>
        </w:r>
      </w:hyperlink>
      <w:r w:rsidR="008B24D9" w:rsidRPr="004A1FF4">
        <w:rPr>
          <w:sz w:val="24"/>
          <w:szCs w:val="24"/>
          <w:lang w:eastAsia="de-DE"/>
        </w:rPr>
        <w:t xml:space="preserve">-Verordnung und der </w:t>
      </w:r>
      <w:hyperlink r:id="rId10" w:tooltip="Deklaration von Helsinki " w:history="1">
        <w:r w:rsidR="008B24D9" w:rsidRPr="004A1FF4">
          <w:rPr>
            <w:rStyle w:val="Hyperlink"/>
            <w:rFonts w:eastAsia="Times" w:cstheme="minorHAnsi"/>
            <w:color w:val="auto"/>
            <w:kern w:val="0"/>
            <w:sz w:val="24"/>
            <w:szCs w:val="24"/>
            <w:u w:val="none"/>
            <w:lang w:eastAsia="de-DE"/>
            <w14:ligatures w14:val="none"/>
          </w:rPr>
          <w:t xml:space="preserve">Deklaration von Helsinki </w:t>
        </w:r>
      </w:hyperlink>
      <w:r w:rsidR="00AD763D">
        <w:rPr>
          <w:rStyle w:val="Hyperlink"/>
          <w:rFonts w:eastAsia="Times" w:cstheme="minorHAnsi"/>
          <w:color w:val="auto"/>
          <w:kern w:val="0"/>
          <w:sz w:val="24"/>
          <w:szCs w:val="24"/>
          <w:u w:val="none"/>
          <w:lang w:eastAsia="de-DE"/>
          <w14:ligatures w14:val="none"/>
        </w:rPr>
        <w:t xml:space="preserve">und ICH-GCP E6 (R2) </w:t>
      </w:r>
      <w:r w:rsidR="008B24D9" w:rsidRPr="004A1FF4">
        <w:rPr>
          <w:sz w:val="24"/>
          <w:szCs w:val="24"/>
          <w:lang w:eastAsia="de-DE"/>
        </w:rPr>
        <w:t>eine schriftliche Einwilligungserklärung bzw. eine Einverständniserklärung (</w:t>
      </w:r>
      <w:proofErr w:type="spellStart"/>
      <w:r w:rsidR="008B24D9" w:rsidRPr="004A1FF4">
        <w:rPr>
          <w:sz w:val="24"/>
          <w:szCs w:val="24"/>
          <w:lang w:eastAsia="de-DE"/>
        </w:rPr>
        <w:t>Informed</w:t>
      </w:r>
      <w:proofErr w:type="spellEnd"/>
      <w:r w:rsidR="008B24D9" w:rsidRPr="004A1FF4">
        <w:rPr>
          <w:sz w:val="24"/>
          <w:szCs w:val="24"/>
          <w:lang w:eastAsia="de-DE"/>
        </w:rPr>
        <w:t xml:space="preserve"> </w:t>
      </w:r>
      <w:proofErr w:type="spellStart"/>
      <w:r w:rsidR="008B24D9" w:rsidRPr="004A1FF4">
        <w:rPr>
          <w:sz w:val="24"/>
          <w:szCs w:val="24"/>
          <w:lang w:eastAsia="de-DE"/>
        </w:rPr>
        <w:t>Consent</w:t>
      </w:r>
      <w:proofErr w:type="spellEnd"/>
      <w:r w:rsidR="008B24D9" w:rsidRPr="004A1FF4">
        <w:rPr>
          <w:sz w:val="24"/>
          <w:szCs w:val="24"/>
          <w:lang w:eastAsia="de-DE"/>
        </w:rPr>
        <w:t xml:space="preserve"> Form - ICF) abgeben</w:t>
      </w:r>
      <w:r w:rsidR="004A5A21" w:rsidRPr="004A1FF4">
        <w:rPr>
          <w:sz w:val="24"/>
          <w:szCs w:val="24"/>
          <w:lang w:eastAsia="de-DE"/>
        </w:rPr>
        <w:t xml:space="preserve"> muss.</w:t>
      </w:r>
      <w:r w:rsidR="00DB474B" w:rsidRPr="004A1FF4">
        <w:rPr>
          <w:sz w:val="24"/>
          <w:szCs w:val="24"/>
          <w:lang w:eastAsia="de-DE"/>
        </w:rPr>
        <w:t xml:space="preserve"> </w:t>
      </w:r>
    </w:p>
    <w:p w14:paraId="6DC2C70C" w14:textId="3F978766" w:rsidR="00030F8D" w:rsidRPr="00893E0E" w:rsidRDefault="00030F8D" w:rsidP="00030F8D">
      <w:pPr>
        <w:pStyle w:val="Default"/>
        <w:rPr>
          <w:rFonts w:asciiTheme="minorHAnsi" w:hAnsiTheme="minorHAnsi" w:cstheme="minorHAnsi"/>
        </w:rPr>
      </w:pPr>
    </w:p>
    <w:p w14:paraId="645AF76A" w14:textId="609ED9CD" w:rsidR="00030F8D" w:rsidRPr="00893E0E" w:rsidRDefault="00030F8D" w:rsidP="00E80A7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893E0E">
        <w:rPr>
          <w:rFonts w:asciiTheme="minorHAnsi" w:hAnsiTheme="minorHAnsi" w:cstheme="minorHAnsi"/>
          <w:b/>
          <w:bCs/>
        </w:rPr>
        <w:t xml:space="preserve">Geltungsbereich </w:t>
      </w:r>
    </w:p>
    <w:p w14:paraId="0023ED43" w14:textId="77777777" w:rsidR="00030F8D" w:rsidRPr="00893E0E" w:rsidRDefault="00030F8D" w:rsidP="00030F8D">
      <w:pPr>
        <w:pStyle w:val="Default"/>
        <w:rPr>
          <w:rFonts w:asciiTheme="minorHAnsi" w:hAnsiTheme="minorHAnsi" w:cstheme="minorHAnsi"/>
        </w:rPr>
      </w:pPr>
    </w:p>
    <w:p w14:paraId="7FAE6A85" w14:textId="4FDA1FD9" w:rsidR="00030F8D" w:rsidRPr="00893E0E" w:rsidRDefault="00030F8D" w:rsidP="00893E0E">
      <w:pPr>
        <w:pStyle w:val="KeinLeerraum"/>
        <w:rPr>
          <w:rFonts w:cstheme="minorHAnsi"/>
          <w:sz w:val="24"/>
          <w:szCs w:val="24"/>
          <w:highlight w:val="yellow"/>
        </w:rPr>
      </w:pPr>
      <w:r w:rsidRPr="00893E0E">
        <w:rPr>
          <w:rFonts w:cstheme="minorHAnsi"/>
          <w:sz w:val="24"/>
          <w:szCs w:val="24"/>
        </w:rPr>
        <w:t xml:space="preserve"> Diese Arbeitsanweisung gilt für das klinische Personal </w:t>
      </w:r>
      <w:r w:rsidR="001850CD">
        <w:rPr>
          <w:rFonts w:cstheme="minorHAnsi"/>
          <w:sz w:val="24"/>
          <w:szCs w:val="24"/>
        </w:rPr>
        <w:t xml:space="preserve">(Studienteam) </w:t>
      </w:r>
      <w:r w:rsidRPr="00893E0E">
        <w:rPr>
          <w:rFonts w:cstheme="minorHAnsi"/>
          <w:sz w:val="24"/>
          <w:szCs w:val="24"/>
        </w:rPr>
        <w:t>des Zentrums</w:t>
      </w:r>
      <w:r w:rsidR="001850CD">
        <w:rPr>
          <w:rFonts w:cstheme="minorHAnsi"/>
          <w:sz w:val="24"/>
          <w:szCs w:val="24"/>
        </w:rPr>
        <w:t>.</w:t>
      </w:r>
    </w:p>
    <w:p w14:paraId="17861680" w14:textId="77777777" w:rsidR="00B66995" w:rsidRPr="00893E0E" w:rsidRDefault="00B66995" w:rsidP="00B66995">
      <w:pPr>
        <w:pStyle w:val="Default"/>
        <w:rPr>
          <w:rFonts w:asciiTheme="minorHAnsi" w:hAnsiTheme="minorHAnsi" w:cstheme="minorHAnsi"/>
          <w:b/>
          <w:bCs/>
        </w:rPr>
      </w:pPr>
    </w:p>
    <w:p w14:paraId="3CC42B58" w14:textId="528B5566" w:rsidR="00B66995" w:rsidRPr="00893E0E" w:rsidRDefault="00B66995" w:rsidP="00E80A7F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893E0E">
        <w:rPr>
          <w:rFonts w:asciiTheme="minorHAnsi" w:hAnsiTheme="minorHAnsi" w:cstheme="minorHAnsi"/>
          <w:b/>
          <w:bCs/>
        </w:rPr>
        <w:t xml:space="preserve">Zuständigkeiten </w:t>
      </w:r>
    </w:p>
    <w:p w14:paraId="2A0B8530" w14:textId="77777777" w:rsidR="00D35877" w:rsidRPr="00893E0E" w:rsidRDefault="00D35877" w:rsidP="00B66995">
      <w:pPr>
        <w:pStyle w:val="Default"/>
        <w:rPr>
          <w:rFonts w:asciiTheme="minorHAnsi" w:hAnsiTheme="minorHAnsi" w:cstheme="minorHAnsi"/>
          <w:b/>
          <w:bCs/>
        </w:rPr>
      </w:pPr>
    </w:p>
    <w:p w14:paraId="6CCB6460" w14:textId="7DA91ECD" w:rsidR="00422709" w:rsidRPr="00422709" w:rsidRDefault="007B7965" w:rsidP="00422709">
      <w:pPr>
        <w:pStyle w:val="Default"/>
        <w:rPr>
          <w:rFonts w:asciiTheme="minorHAnsi" w:hAnsiTheme="minorHAnsi" w:cstheme="minorHAnsi"/>
          <w:b/>
          <w:bCs/>
        </w:rPr>
      </w:pPr>
      <w:r w:rsidRPr="007B7965">
        <w:rPr>
          <w:rFonts w:asciiTheme="minorHAnsi" w:eastAsia="Times" w:hAnsiTheme="minorHAnsi" w:cstheme="minorHAnsi"/>
          <w:iCs/>
          <w:lang w:eastAsia="de-DE"/>
          <w14:ligatures w14:val="none"/>
        </w:rPr>
        <w:t>Prüfarzte</w:t>
      </w:r>
      <w:r w:rsidR="00422709">
        <w:rPr>
          <w:rFonts w:asciiTheme="minorHAnsi" w:eastAsia="Times" w:hAnsiTheme="minorHAnsi" w:cstheme="minorHAnsi"/>
          <w:iCs/>
          <w:lang w:eastAsia="de-DE"/>
          <w14:ligatures w14:val="none"/>
        </w:rPr>
        <w:t xml:space="preserve"> </w:t>
      </w:r>
      <w:r w:rsidR="00422709" w:rsidRPr="00743229">
        <w:rPr>
          <w:rFonts w:asciiTheme="minorHAnsi" w:hAnsiTheme="minorHAnsi" w:cstheme="minorHAnsi"/>
        </w:rPr>
        <w:t>(</w:t>
      </w:r>
      <w:r w:rsidR="00422709">
        <w:rPr>
          <w:rFonts w:asciiTheme="minorHAnsi" w:hAnsiTheme="minorHAnsi" w:cstheme="minorHAnsi"/>
        </w:rPr>
        <w:t>f</w:t>
      </w:r>
      <w:r w:rsidR="00422709" w:rsidRPr="00743229">
        <w:rPr>
          <w:rFonts w:asciiTheme="minorHAnsi" w:hAnsiTheme="minorHAnsi" w:cstheme="minorHAnsi"/>
        </w:rPr>
        <w:t>ür di</w:t>
      </w:r>
      <w:r w:rsidR="00422709">
        <w:rPr>
          <w:rFonts w:asciiTheme="minorHAnsi" w:hAnsiTheme="minorHAnsi" w:cstheme="minorHAnsi"/>
        </w:rPr>
        <w:t>e</w:t>
      </w:r>
      <w:r w:rsidR="00422709" w:rsidRPr="00743229">
        <w:rPr>
          <w:rFonts w:asciiTheme="minorHAnsi" w:hAnsiTheme="minorHAnsi" w:cstheme="minorHAnsi"/>
        </w:rPr>
        <w:t xml:space="preserve"> Studie gemeldet, trainiert und autorisiert)</w:t>
      </w:r>
      <w:r w:rsidR="00422709">
        <w:rPr>
          <w:rFonts w:asciiTheme="minorHAnsi" w:hAnsiTheme="minorHAnsi" w:cstheme="minorHAnsi"/>
        </w:rPr>
        <w:t>.</w:t>
      </w:r>
    </w:p>
    <w:p w14:paraId="5EDDCF50" w14:textId="77777777" w:rsidR="007B7965" w:rsidRPr="00893E0E" w:rsidRDefault="007B7965" w:rsidP="00422709">
      <w:pPr>
        <w:pStyle w:val="Default"/>
        <w:rPr>
          <w:rFonts w:asciiTheme="minorHAnsi" w:hAnsiTheme="minorHAnsi" w:cstheme="minorHAnsi"/>
        </w:rPr>
      </w:pPr>
    </w:p>
    <w:p w14:paraId="25B09DAA" w14:textId="5917C731" w:rsidR="00FF6797" w:rsidRPr="00893E0E" w:rsidRDefault="00FF6797" w:rsidP="00E80A7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893E0E">
        <w:rPr>
          <w:rFonts w:asciiTheme="minorHAnsi" w:hAnsiTheme="minorHAnsi" w:cstheme="minorHAnsi"/>
          <w:b/>
          <w:bCs/>
        </w:rPr>
        <w:t xml:space="preserve">Prozessbeschreibung </w:t>
      </w:r>
    </w:p>
    <w:p w14:paraId="32DAB2D4" w14:textId="77777777" w:rsidR="00FF6797" w:rsidRPr="00FF6797" w:rsidRDefault="00FF6797" w:rsidP="005B5C52">
      <w:pPr>
        <w:rPr>
          <w:rFonts w:cstheme="minorHAnsi"/>
          <w:b/>
          <w:bCs/>
          <w:sz w:val="24"/>
          <w:szCs w:val="24"/>
          <w:lang w:eastAsia="de-DE"/>
        </w:rPr>
      </w:pPr>
    </w:p>
    <w:p w14:paraId="476F4286" w14:textId="34BB285C" w:rsidR="008D7DD5" w:rsidRPr="0099535E" w:rsidRDefault="00AF44A7" w:rsidP="00893E0E">
      <w:pPr>
        <w:rPr>
          <w:rFonts w:cstheme="minorHAnsi"/>
          <w:b/>
          <w:bCs/>
          <w:iCs/>
          <w:sz w:val="24"/>
          <w:szCs w:val="24"/>
        </w:rPr>
      </w:pPr>
      <w:r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>Ein Patient kann nur in die klinische Prüfung aufgenommen werden, wenn er die Einwilligung hierzu erteilt hat, nachdem er durch einen Prüfer/Prüfarzt über Wesen, Bedeutung und Tragweite der klinischen Prüfung</w:t>
      </w:r>
      <w:r w:rsidR="00FF6797"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 xml:space="preserve">, </w:t>
      </w:r>
      <w:r w:rsidRPr="0099535E">
        <w:rPr>
          <w:rFonts w:cstheme="minorHAnsi"/>
          <w:iCs/>
          <w:sz w:val="24"/>
          <w:szCs w:val="24"/>
        </w:rPr>
        <w:t xml:space="preserve">Entnahme sowie Bereitstellung der Bioproben </w:t>
      </w:r>
      <w:r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 xml:space="preserve">in angemessener und </w:t>
      </w:r>
      <w:r w:rsidR="0099535E"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>verständlicher</w:t>
      </w:r>
      <w:r w:rsidR="004A1FF4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 xml:space="preserve"> W</w:t>
      </w:r>
      <w:r w:rsidR="0099535E"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>eise</w:t>
      </w:r>
      <w:r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 xml:space="preserve"> aufgeklärt worden ist.</w:t>
      </w:r>
      <w:r w:rsidR="005B5C52" w:rsidRPr="0099535E">
        <w:rPr>
          <w:rFonts w:cstheme="minorHAnsi"/>
          <w:iCs/>
          <w:sz w:val="24"/>
          <w:szCs w:val="24"/>
        </w:rPr>
        <w:t xml:space="preserve"> </w:t>
      </w:r>
      <w:r w:rsidR="008D7DD5" w:rsidRPr="0099535E">
        <w:rPr>
          <w:rFonts w:eastAsia="Times" w:cstheme="minorHAnsi"/>
          <w:iCs/>
          <w:sz w:val="24"/>
          <w:szCs w:val="24"/>
          <w:lang w:eastAsia="de-DE"/>
        </w:rPr>
        <w:t xml:space="preserve">Der Studienteilnehmer muss über den </w:t>
      </w:r>
      <w:r w:rsidR="00AC4E04" w:rsidRPr="0099535E">
        <w:rPr>
          <w:rFonts w:eastAsia="Times" w:cstheme="minorHAnsi"/>
          <w:iCs/>
          <w:sz w:val="24"/>
          <w:szCs w:val="24"/>
          <w:lang w:eastAsia="de-DE"/>
        </w:rPr>
        <w:t>potenziellen</w:t>
      </w:r>
      <w:r w:rsidR="008D7DD5" w:rsidRPr="0099535E">
        <w:rPr>
          <w:rFonts w:eastAsia="Times" w:cstheme="minorHAnsi"/>
          <w:iCs/>
          <w:sz w:val="24"/>
          <w:szCs w:val="24"/>
          <w:lang w:eastAsia="de-DE"/>
        </w:rPr>
        <w:t xml:space="preserve"> Nutzen und die Nebenwirkungen von Prüfmedikation sowie über die Notwendigkeit und Bedeutung </w:t>
      </w:r>
      <w:r w:rsidR="00AC4E04" w:rsidRPr="0099535E">
        <w:rPr>
          <w:rFonts w:eastAsia="Times" w:cstheme="minorHAnsi"/>
          <w:iCs/>
          <w:sz w:val="24"/>
          <w:szCs w:val="24"/>
          <w:lang w:eastAsia="de-DE"/>
        </w:rPr>
        <w:t>eines Placebos</w:t>
      </w:r>
      <w:r w:rsidR="008D7DD5" w:rsidRPr="0099535E">
        <w:rPr>
          <w:rFonts w:eastAsia="Times" w:cstheme="minorHAnsi"/>
          <w:iCs/>
          <w:sz w:val="24"/>
          <w:szCs w:val="24"/>
          <w:lang w:eastAsia="de-DE"/>
        </w:rPr>
        <w:t xml:space="preserve"> kontrollierten klinischen Prüfung </w:t>
      </w:r>
      <w:r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 xml:space="preserve">durch einen Prüfer/Prüfarzt </w:t>
      </w:r>
      <w:r w:rsidR="008D7DD5" w:rsidRPr="0099535E">
        <w:rPr>
          <w:rFonts w:eastAsia="Times" w:cstheme="minorHAnsi"/>
          <w:iCs/>
          <w:sz w:val="24"/>
          <w:szCs w:val="24"/>
          <w:lang w:eastAsia="de-DE"/>
        </w:rPr>
        <w:t>unterrichtet</w:t>
      </w:r>
      <w:r w:rsidR="007237CF" w:rsidRPr="0099535E">
        <w:rPr>
          <w:rFonts w:eastAsia="Times" w:cstheme="minorHAnsi"/>
          <w:iCs/>
          <w:sz w:val="24"/>
          <w:szCs w:val="24"/>
          <w:lang w:eastAsia="de-DE"/>
        </w:rPr>
        <w:t xml:space="preserve"> werden</w:t>
      </w:r>
      <w:r w:rsidR="00094B3F" w:rsidRPr="0099535E">
        <w:rPr>
          <w:rFonts w:eastAsia="Times" w:cstheme="minorHAnsi"/>
          <w:iCs/>
          <w:sz w:val="24"/>
          <w:szCs w:val="24"/>
          <w:lang w:eastAsia="de-DE"/>
        </w:rPr>
        <w:t>.</w:t>
      </w:r>
    </w:p>
    <w:p w14:paraId="27151FC6" w14:textId="25806B5C" w:rsidR="008D7DD5" w:rsidRPr="00893E0E" w:rsidRDefault="00094B3F" w:rsidP="00893E0E">
      <w:pPr>
        <w:rPr>
          <w:rFonts w:cstheme="minorHAnsi"/>
          <w:b/>
          <w:bCs/>
          <w:sz w:val="24"/>
          <w:szCs w:val="24"/>
        </w:rPr>
      </w:pPr>
      <w:r w:rsidRPr="00893E0E">
        <w:rPr>
          <w:rFonts w:eastAsia="Times" w:cstheme="minorHAnsi"/>
          <w:sz w:val="24"/>
          <w:szCs w:val="24"/>
          <w:lang w:eastAsia="de-DE"/>
        </w:rPr>
        <w:t>Der Studienteilnehmer</w:t>
      </w:r>
      <w:r w:rsidR="008D7DD5" w:rsidRPr="00893E0E">
        <w:rPr>
          <w:rFonts w:cstheme="minorHAnsi"/>
          <w:sz w:val="24"/>
          <w:szCs w:val="24"/>
        </w:rPr>
        <w:t xml:space="preserve"> muss über das Recht aufgeklärt</w:t>
      </w:r>
      <w:r w:rsidR="00B74348" w:rsidRPr="00893E0E">
        <w:rPr>
          <w:rFonts w:cstheme="minorHAnsi"/>
          <w:sz w:val="24"/>
          <w:szCs w:val="24"/>
        </w:rPr>
        <w:t xml:space="preserve"> </w:t>
      </w:r>
      <w:r w:rsidR="008D7DD5" w:rsidRPr="00893E0E">
        <w:rPr>
          <w:rFonts w:cstheme="minorHAnsi"/>
          <w:sz w:val="24"/>
          <w:szCs w:val="24"/>
        </w:rPr>
        <w:t xml:space="preserve">werden, die Teilnahme an der Studie zu verweigern oder eine einmal </w:t>
      </w:r>
      <w:r w:rsidR="007237CF" w:rsidRPr="00893E0E">
        <w:rPr>
          <w:rFonts w:cstheme="minorHAnsi"/>
          <w:sz w:val="24"/>
          <w:szCs w:val="24"/>
        </w:rPr>
        <w:t>ab</w:t>
      </w:r>
      <w:r w:rsidR="008D7DD5" w:rsidRPr="00893E0E">
        <w:rPr>
          <w:rFonts w:cstheme="minorHAnsi"/>
          <w:sz w:val="24"/>
          <w:szCs w:val="24"/>
        </w:rPr>
        <w:t xml:space="preserve">gegebene Einwilligung jederzeit zu widerrufen, ohne dass </w:t>
      </w:r>
      <w:r w:rsidR="007237CF" w:rsidRPr="00893E0E">
        <w:rPr>
          <w:rFonts w:cstheme="minorHAnsi"/>
          <w:sz w:val="24"/>
          <w:szCs w:val="24"/>
        </w:rPr>
        <w:t>i</w:t>
      </w:r>
      <w:r w:rsidR="008D7DD5" w:rsidRPr="00893E0E">
        <w:rPr>
          <w:rFonts w:cstheme="minorHAnsi"/>
          <w:sz w:val="24"/>
          <w:szCs w:val="24"/>
        </w:rPr>
        <w:t>hm irgendwelche Nachteile entstehen.</w:t>
      </w:r>
    </w:p>
    <w:p w14:paraId="5FECD298" w14:textId="7EE86F77" w:rsidR="00EC3240" w:rsidRDefault="00CD6052" w:rsidP="00893E0E">
      <w:pPr>
        <w:rPr>
          <w:rFonts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  <w:lang w:eastAsia="de-DE"/>
        </w:rPr>
        <w:t xml:space="preserve">Zur </w:t>
      </w:r>
      <w:r w:rsidR="00EC3240" w:rsidRPr="00893E0E">
        <w:rPr>
          <w:rFonts w:cstheme="minorHAnsi"/>
          <w:sz w:val="24"/>
          <w:szCs w:val="24"/>
          <w:lang w:eastAsia="de-DE"/>
        </w:rPr>
        <w:t xml:space="preserve">Entscheidung über </w:t>
      </w:r>
      <w:r w:rsidR="004A1FF4">
        <w:rPr>
          <w:rFonts w:cstheme="minorHAnsi"/>
          <w:sz w:val="24"/>
          <w:szCs w:val="24"/>
          <w:lang w:eastAsia="de-DE"/>
        </w:rPr>
        <w:t xml:space="preserve">die </w:t>
      </w:r>
      <w:r w:rsidR="00EC3240" w:rsidRPr="00893E0E">
        <w:rPr>
          <w:rFonts w:cstheme="minorHAnsi"/>
          <w:sz w:val="24"/>
          <w:szCs w:val="24"/>
          <w:lang w:eastAsia="de-DE"/>
        </w:rPr>
        <w:t xml:space="preserve">Einwilligungserklärung sollte dem Teilnehmer nach Abschluss des Aufklärungsgesprächs eine weitere Bedenkzeit eingeräumt werden. </w:t>
      </w:r>
      <w:r w:rsidR="005B5C52" w:rsidRPr="00893E0E">
        <w:rPr>
          <w:rFonts w:cstheme="minorHAnsi"/>
          <w:sz w:val="24"/>
          <w:szCs w:val="24"/>
          <w:lang w:eastAsia="de-DE"/>
        </w:rPr>
        <w:t xml:space="preserve"> In der Regel soll dabei ein zeitlicher Abstand zwischen Aufklärungsgespräch und Beginn einer Teilnahme an dem Vorhaben von mindestens einem Tag liegen.</w:t>
      </w:r>
      <w:r w:rsidR="00677B4E">
        <w:rPr>
          <w:rFonts w:cstheme="minorHAnsi"/>
          <w:sz w:val="24"/>
          <w:szCs w:val="24"/>
          <w:lang w:eastAsia="de-DE"/>
        </w:rPr>
        <w:t xml:space="preserve"> </w:t>
      </w:r>
      <w:r w:rsidR="00EC3240" w:rsidRPr="00893E0E">
        <w:rPr>
          <w:rFonts w:cstheme="minorHAnsi"/>
          <w:sz w:val="24"/>
          <w:szCs w:val="24"/>
          <w:lang w:eastAsia="de-DE"/>
        </w:rPr>
        <w:t xml:space="preserve">Bevor die Einwilligung zur Studienteilnahme unterschrieben wird, muss der Prüfarzt die Patienteninformationen somit in einem </w:t>
      </w:r>
      <w:r w:rsidR="00EC3240" w:rsidRPr="00893E0E">
        <w:rPr>
          <w:rFonts w:cstheme="minorHAnsi"/>
          <w:sz w:val="24"/>
          <w:szCs w:val="24"/>
          <w:lang w:eastAsia="de-DE"/>
        </w:rPr>
        <w:lastRenderedPageBreak/>
        <w:t>persönlichen Aufklärungsgespräch durchsprechen und Fragen des Studienteilnehmers beantworten.</w:t>
      </w:r>
    </w:p>
    <w:p w14:paraId="7D164130" w14:textId="2A345A06" w:rsidR="00580C7B" w:rsidRDefault="00580C7B" w:rsidP="00893E0E">
      <w:pPr>
        <w:rPr>
          <w:rFonts w:cstheme="minorHAnsi"/>
          <w:sz w:val="24"/>
          <w:szCs w:val="24"/>
        </w:rPr>
      </w:pPr>
      <w:r w:rsidRPr="00991F19">
        <w:rPr>
          <w:rStyle w:val="markedcontent"/>
          <w:rFonts w:cstheme="minorHAnsi"/>
          <w:sz w:val="24"/>
          <w:szCs w:val="24"/>
        </w:rPr>
        <w:t>Bei Patienten mit akuter Infektion mit COVID-19</w:t>
      </w:r>
      <w:r w:rsidR="004A1FF4">
        <w:rPr>
          <w:rFonts w:cstheme="minorHAnsi"/>
          <w:sz w:val="24"/>
          <w:szCs w:val="24"/>
        </w:rPr>
        <w:t xml:space="preserve"> ist </w:t>
      </w:r>
      <w:r w:rsidR="00991F19">
        <w:rPr>
          <w:rFonts w:cstheme="minorHAnsi"/>
          <w:sz w:val="24"/>
          <w:szCs w:val="24"/>
        </w:rPr>
        <w:t>d</w:t>
      </w:r>
      <w:r w:rsidRPr="00B96C62">
        <w:rPr>
          <w:rFonts w:cstheme="minorHAnsi"/>
          <w:sz w:val="24"/>
          <w:szCs w:val="24"/>
        </w:rPr>
        <w:t>ie mündlich erteilte Einwilligung schriftlich zu dokumentieren, zu datieren und von dem Zeugen zu unterschreiben (vgl.§ 40 Abs. 1 S. 5 und 6 AMG).</w:t>
      </w:r>
      <w:r>
        <w:rPr>
          <w:rFonts w:cstheme="minorHAnsi"/>
          <w:sz w:val="24"/>
          <w:szCs w:val="24"/>
        </w:rPr>
        <w:t xml:space="preserve"> </w:t>
      </w:r>
      <w:r w:rsidRPr="00580C7B">
        <w:rPr>
          <w:rFonts w:cstheme="minorHAnsi"/>
          <w:sz w:val="24"/>
          <w:szCs w:val="24"/>
        </w:rPr>
        <w:t xml:space="preserve">Soweit ein unabhängiger Zeuge einbezogen wird, </w:t>
      </w:r>
      <w:r w:rsidR="009A39A0" w:rsidRPr="009A39A0">
        <w:rPr>
          <w:rFonts w:cstheme="minorHAnsi"/>
          <w:sz w:val="24"/>
          <w:szCs w:val="24"/>
        </w:rPr>
        <w:t xml:space="preserve">muss der </w:t>
      </w:r>
      <w:r w:rsidR="009A39A0" w:rsidRPr="0099535E">
        <w:rPr>
          <w:rFonts w:eastAsia="Times" w:cstheme="minorHAnsi"/>
          <w:iCs/>
          <w:kern w:val="0"/>
          <w:sz w:val="24"/>
          <w:szCs w:val="24"/>
          <w:lang w:eastAsia="de-DE"/>
          <w14:ligatures w14:val="none"/>
        </w:rPr>
        <w:t>Prüfarzt</w:t>
      </w:r>
      <w:r w:rsidR="009A39A0" w:rsidRPr="009A39A0">
        <w:rPr>
          <w:rFonts w:cstheme="minorHAnsi"/>
          <w:sz w:val="24"/>
          <w:szCs w:val="24"/>
        </w:rPr>
        <w:t xml:space="preserve"> sicherstellen</w:t>
      </w:r>
      <w:r w:rsidRPr="00580C7B">
        <w:rPr>
          <w:rFonts w:cstheme="minorHAnsi"/>
          <w:sz w:val="24"/>
          <w:szCs w:val="24"/>
        </w:rPr>
        <w:t>, dass dieser Zeuge keine bei</w:t>
      </w:r>
      <w:r>
        <w:rPr>
          <w:rFonts w:cstheme="minorHAnsi"/>
          <w:sz w:val="24"/>
          <w:szCs w:val="24"/>
        </w:rPr>
        <w:t xml:space="preserve"> </w:t>
      </w:r>
      <w:r w:rsidRPr="00580C7B">
        <w:rPr>
          <w:rFonts w:cstheme="minorHAnsi"/>
          <w:sz w:val="24"/>
          <w:szCs w:val="24"/>
        </w:rPr>
        <w:t>der Prüfstelle beschäftigte Person und kein Mitglied der Prüfgruppe sein darf</w:t>
      </w:r>
      <w:r w:rsidR="004A1FF4">
        <w:rPr>
          <w:rFonts w:cstheme="minorHAnsi"/>
          <w:sz w:val="24"/>
          <w:szCs w:val="24"/>
        </w:rPr>
        <w:t>.</w:t>
      </w:r>
      <w:r w:rsidR="00677B4E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 xml:space="preserve">Über Änderungen in laufenden klinischen Prüfungen kann der </w:t>
      </w:r>
      <w:r w:rsidR="00B96C62" w:rsidRPr="00893E0E">
        <w:rPr>
          <w:rFonts w:cstheme="minorHAnsi"/>
          <w:sz w:val="24"/>
          <w:szCs w:val="24"/>
          <w:lang w:eastAsia="de-DE"/>
        </w:rPr>
        <w:t>Prüfarzt</w:t>
      </w:r>
      <w:r w:rsidR="00B96C62">
        <w:rPr>
          <w:rFonts w:cstheme="minorHAnsi"/>
          <w:sz w:val="24"/>
          <w:szCs w:val="24"/>
          <w:lang w:eastAsia="de-DE"/>
        </w:rPr>
        <w:t xml:space="preserve"> </w:t>
      </w:r>
      <w:r w:rsidR="00B96C62" w:rsidRPr="00B96C62">
        <w:rPr>
          <w:rFonts w:cstheme="minorHAnsi"/>
          <w:sz w:val="24"/>
          <w:szCs w:val="24"/>
        </w:rPr>
        <w:t>ggf.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 xml:space="preserve">auch fernmündlich aufklären. Hierbei muss </w:t>
      </w:r>
      <w:r w:rsidR="00B34AC9" w:rsidRPr="00B96C62">
        <w:rPr>
          <w:rFonts w:cstheme="minorHAnsi"/>
          <w:sz w:val="24"/>
          <w:szCs w:val="24"/>
        </w:rPr>
        <w:t xml:space="preserve">der </w:t>
      </w:r>
      <w:r w:rsidR="00B34AC9" w:rsidRPr="00893E0E">
        <w:rPr>
          <w:rFonts w:cstheme="minorHAnsi"/>
          <w:sz w:val="24"/>
          <w:szCs w:val="24"/>
          <w:lang w:eastAsia="de-DE"/>
        </w:rPr>
        <w:t>Prüfarzt</w:t>
      </w:r>
      <w:r w:rsidR="00B34AC9">
        <w:rPr>
          <w:rFonts w:cstheme="minorHAnsi"/>
          <w:sz w:val="24"/>
          <w:szCs w:val="24"/>
          <w:lang w:eastAsia="de-DE"/>
        </w:rPr>
        <w:t xml:space="preserve"> </w:t>
      </w:r>
      <w:r w:rsidR="00B96C62" w:rsidRPr="00B96C62">
        <w:rPr>
          <w:rFonts w:cstheme="minorHAnsi"/>
          <w:sz w:val="24"/>
          <w:szCs w:val="24"/>
        </w:rPr>
        <w:t>sich jedoch in geeigneter Weise versichern, dass mit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>der betroffenen Person korrespondiert wird. Es ist zu dokumentieren, welche Maßnahmen hier</w:t>
      </w:r>
      <w:r w:rsidR="004A1FF4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>zugetroffen werden (z. B. Kontrollfragen). Die Aufklärungsunterlage sollte der betroffenen Person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>grundsätzlich in Papierfassung zugesandt werden; ggf. kann vorab eine elektronische Version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>bereitgestellt werden. Bei elektronischer Kontaktaufnahme ist darauf zu achten, dass die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>Bestimmungen des Datenschutzes eingehalten werden. Die unterzeichnete Einwilligungserklärung</w:t>
      </w:r>
      <w:r w:rsidR="00B96C62">
        <w:rPr>
          <w:rFonts w:cstheme="minorHAnsi"/>
          <w:sz w:val="24"/>
          <w:szCs w:val="24"/>
        </w:rPr>
        <w:t xml:space="preserve"> </w:t>
      </w:r>
      <w:r w:rsidR="00B96C62" w:rsidRPr="00B96C62">
        <w:rPr>
          <w:rFonts w:cstheme="minorHAnsi"/>
          <w:sz w:val="24"/>
          <w:szCs w:val="24"/>
        </w:rPr>
        <w:t xml:space="preserve">sollte von der betroffenen Person kostenfrei an den Prüfer zurückgesandt werden können. </w:t>
      </w:r>
    </w:p>
    <w:p w14:paraId="73797680" w14:textId="74885191" w:rsidR="00E30804" w:rsidRPr="00893E0E" w:rsidRDefault="00EC3240" w:rsidP="00893E0E">
      <w:pPr>
        <w:rPr>
          <w:rFonts w:eastAsia="Times" w:cstheme="minorHAnsi"/>
          <w:sz w:val="24"/>
          <w:szCs w:val="24"/>
          <w:lang w:eastAsia="de-DE"/>
        </w:rPr>
      </w:pPr>
      <w:r w:rsidRPr="00893E0E">
        <w:rPr>
          <w:rFonts w:cstheme="minorHAnsi"/>
          <w:sz w:val="24"/>
          <w:szCs w:val="24"/>
        </w:rPr>
        <w:t>Die Patienteninformation und –Einverständniserklärung</w:t>
      </w:r>
      <w:r w:rsidRPr="00893E0E">
        <w:rPr>
          <w:rFonts w:eastAsia="Times" w:cstheme="minorHAnsi"/>
          <w:sz w:val="24"/>
          <w:szCs w:val="24"/>
          <w:lang w:eastAsia="de-DE"/>
        </w:rPr>
        <w:t xml:space="preserve"> wird vor der Ausgabe an den Studienteilnehmer vom Prüfarzt auf ihre Korrektheit (Version</w:t>
      </w:r>
      <w:r w:rsidR="007237CF" w:rsidRPr="00893E0E">
        <w:rPr>
          <w:rFonts w:eastAsia="Times" w:cstheme="minorHAnsi"/>
          <w:sz w:val="24"/>
          <w:szCs w:val="24"/>
          <w:lang w:eastAsia="de-DE"/>
        </w:rPr>
        <w:t>, Seitenanzahl</w:t>
      </w:r>
      <w:r w:rsidRPr="00893E0E">
        <w:rPr>
          <w:rFonts w:eastAsia="Times" w:cstheme="minorHAnsi"/>
          <w:sz w:val="24"/>
          <w:szCs w:val="24"/>
          <w:lang w:eastAsia="de-DE"/>
        </w:rPr>
        <w:t>) überprüft.</w:t>
      </w:r>
      <w:r w:rsidR="00FE612A">
        <w:rPr>
          <w:rFonts w:eastAsia="Times" w:cstheme="minorHAnsi"/>
          <w:sz w:val="24"/>
          <w:szCs w:val="24"/>
          <w:lang w:eastAsia="de-DE"/>
        </w:rPr>
        <w:t xml:space="preserve"> </w:t>
      </w:r>
      <w:r w:rsidR="00E30804" w:rsidRPr="00893E0E">
        <w:rPr>
          <w:rFonts w:eastAsia="Times" w:cstheme="minorHAnsi"/>
          <w:sz w:val="24"/>
          <w:szCs w:val="24"/>
          <w:lang w:eastAsia="de-DE"/>
        </w:rPr>
        <w:t>Die Patienteninformation und –Einverständniserklärung ist vom Patienten eigenhändig zu datieren</w:t>
      </w:r>
      <w:r w:rsidR="00E30804" w:rsidRPr="00893E0E">
        <w:rPr>
          <w:rFonts w:cstheme="minorHAnsi"/>
          <w:sz w:val="24"/>
          <w:szCs w:val="24"/>
        </w:rPr>
        <w:t xml:space="preserve"> und unterschreiben</w:t>
      </w:r>
      <w:r w:rsidR="00831DB7" w:rsidRPr="00893E0E">
        <w:rPr>
          <w:rFonts w:cstheme="minorHAnsi"/>
          <w:sz w:val="24"/>
          <w:szCs w:val="24"/>
        </w:rPr>
        <w:t xml:space="preserve"> (oder seine</w:t>
      </w:r>
      <w:r w:rsidR="004A1FF4">
        <w:rPr>
          <w:rFonts w:cstheme="minorHAnsi"/>
          <w:sz w:val="24"/>
          <w:szCs w:val="24"/>
        </w:rPr>
        <w:t>m</w:t>
      </w:r>
      <w:r w:rsidR="00831DB7" w:rsidRPr="00893E0E">
        <w:rPr>
          <w:rFonts w:cstheme="minorHAnsi"/>
          <w:sz w:val="24"/>
          <w:szCs w:val="24"/>
        </w:rPr>
        <w:t xml:space="preserve"> </w:t>
      </w:r>
      <w:r w:rsidR="00030F8D" w:rsidRPr="00893E0E">
        <w:rPr>
          <w:rFonts w:cstheme="minorHAnsi"/>
          <w:sz w:val="24"/>
          <w:szCs w:val="24"/>
        </w:rPr>
        <w:t>gesetzlichen</w:t>
      </w:r>
      <w:r w:rsidR="00831DB7" w:rsidRPr="00893E0E">
        <w:rPr>
          <w:rFonts w:cstheme="minorHAnsi"/>
          <w:sz w:val="24"/>
          <w:szCs w:val="24"/>
        </w:rPr>
        <w:t xml:space="preserve"> </w:t>
      </w:r>
      <w:r w:rsidR="00030F8D" w:rsidRPr="00893E0E">
        <w:rPr>
          <w:rFonts w:cstheme="minorHAnsi"/>
          <w:sz w:val="24"/>
          <w:szCs w:val="24"/>
        </w:rPr>
        <w:t>Vertreter</w:t>
      </w:r>
      <w:r w:rsidR="00831DB7" w:rsidRPr="00893E0E">
        <w:rPr>
          <w:rFonts w:cstheme="minorHAnsi"/>
          <w:sz w:val="24"/>
          <w:szCs w:val="24"/>
        </w:rPr>
        <w:t>)</w:t>
      </w:r>
      <w:r w:rsidR="001016E3" w:rsidRPr="00893E0E">
        <w:rPr>
          <w:rFonts w:cstheme="minorHAnsi"/>
          <w:sz w:val="24"/>
          <w:szCs w:val="24"/>
        </w:rPr>
        <w:t>.</w:t>
      </w:r>
      <w:r w:rsidR="005B5C52" w:rsidRPr="00893E0E">
        <w:rPr>
          <w:rFonts w:cstheme="minorHAnsi"/>
          <w:sz w:val="24"/>
          <w:szCs w:val="24"/>
        </w:rPr>
        <w:t xml:space="preserve"> </w:t>
      </w:r>
      <w:r w:rsidR="00831DB7" w:rsidRPr="00893E0E">
        <w:rPr>
          <w:rFonts w:cstheme="minorHAnsi"/>
          <w:sz w:val="24"/>
          <w:szCs w:val="24"/>
        </w:rPr>
        <w:t>Bei Analphabeten</w:t>
      </w:r>
      <w:r w:rsidR="00030F8D" w:rsidRPr="00893E0E">
        <w:rPr>
          <w:rFonts w:cstheme="minorHAnsi"/>
          <w:sz w:val="24"/>
          <w:szCs w:val="24"/>
        </w:rPr>
        <w:t xml:space="preserve">: Mündliches Einverständnis des Studienteilnehmers und Unterzeichnung der schriftlichen Einverständniserklärung durch einen unparteiischen Zeugen. </w:t>
      </w:r>
    </w:p>
    <w:p w14:paraId="3E18C56B" w14:textId="2CAE10E0" w:rsidR="00E30804" w:rsidRPr="00893E0E" w:rsidRDefault="00EC3240" w:rsidP="00893E0E">
      <w:pPr>
        <w:rPr>
          <w:rFonts w:eastAsia="Times" w:cstheme="minorHAnsi"/>
          <w:sz w:val="24"/>
          <w:szCs w:val="24"/>
          <w:lang w:eastAsia="de-DE"/>
        </w:rPr>
      </w:pPr>
      <w:r w:rsidRPr="00893E0E">
        <w:rPr>
          <w:rFonts w:eastAsia="Times" w:cstheme="minorHAnsi"/>
          <w:sz w:val="24"/>
          <w:szCs w:val="24"/>
          <w:lang w:eastAsia="de-DE"/>
        </w:rPr>
        <w:t xml:space="preserve">Das Original der schriftlichen </w:t>
      </w:r>
      <w:r w:rsidR="00551030" w:rsidRPr="00893E0E">
        <w:rPr>
          <w:rFonts w:cstheme="minorHAnsi"/>
          <w:sz w:val="24"/>
          <w:szCs w:val="24"/>
        </w:rPr>
        <w:t>Einverständniserklärung</w:t>
      </w:r>
      <w:r w:rsidR="00551030" w:rsidRPr="00893E0E">
        <w:rPr>
          <w:rFonts w:eastAsia="Times" w:cstheme="minorHAnsi"/>
          <w:sz w:val="24"/>
          <w:szCs w:val="24"/>
          <w:lang w:eastAsia="de-DE"/>
        </w:rPr>
        <w:t xml:space="preserve"> und </w:t>
      </w:r>
      <w:r w:rsidR="00030F8D" w:rsidRPr="00893E0E">
        <w:rPr>
          <w:rStyle w:val="cf01"/>
          <w:rFonts w:asciiTheme="minorHAnsi" w:hAnsiTheme="minorHAnsi" w:cstheme="minorHAnsi"/>
          <w:sz w:val="24"/>
          <w:szCs w:val="24"/>
        </w:rPr>
        <w:t>die Patienteninformation</w:t>
      </w:r>
      <w:r w:rsidR="00030F8D" w:rsidRPr="00893E0E">
        <w:rPr>
          <w:rFonts w:eastAsia="Times" w:cstheme="minorHAnsi"/>
          <w:sz w:val="24"/>
          <w:szCs w:val="24"/>
          <w:lang w:eastAsia="de-DE"/>
        </w:rPr>
        <w:t xml:space="preserve"> </w:t>
      </w:r>
      <w:r w:rsidRPr="00893E0E">
        <w:rPr>
          <w:rFonts w:eastAsia="Times" w:cstheme="minorHAnsi"/>
          <w:sz w:val="24"/>
          <w:szCs w:val="24"/>
          <w:lang w:eastAsia="de-DE"/>
        </w:rPr>
        <w:t xml:space="preserve">wird im Studienordner </w:t>
      </w:r>
      <w:r w:rsidR="00595ADF" w:rsidRPr="00893E0E">
        <w:rPr>
          <w:rFonts w:eastAsia="Times" w:cstheme="minorHAnsi"/>
          <w:sz w:val="24"/>
          <w:szCs w:val="24"/>
          <w:lang w:eastAsia="de-DE"/>
        </w:rPr>
        <w:t xml:space="preserve">(genannt Investigator Site File, kurz ISF) </w:t>
      </w:r>
      <w:r w:rsidRPr="00893E0E">
        <w:rPr>
          <w:rFonts w:eastAsia="Times" w:cstheme="minorHAnsi"/>
          <w:sz w:val="24"/>
          <w:szCs w:val="24"/>
          <w:lang w:eastAsia="de-DE"/>
        </w:rPr>
        <w:t>des Prüfzen</w:t>
      </w:r>
      <w:r w:rsidRPr="00893E0E">
        <w:rPr>
          <w:rFonts w:eastAsia="Times" w:cstheme="minorHAnsi"/>
          <w:sz w:val="24"/>
          <w:szCs w:val="24"/>
          <w:lang w:eastAsia="de-DE"/>
        </w:rPr>
        <w:softHyphen/>
        <w:t>trums verwahrt.</w:t>
      </w:r>
      <w:r w:rsidR="00FE612A">
        <w:rPr>
          <w:rFonts w:eastAsia="Times" w:cstheme="minorHAnsi"/>
          <w:sz w:val="24"/>
          <w:szCs w:val="24"/>
          <w:lang w:eastAsia="de-DE"/>
        </w:rPr>
        <w:t xml:space="preserve"> </w:t>
      </w:r>
      <w:r w:rsidRPr="00893E0E">
        <w:rPr>
          <w:rFonts w:eastAsia="Times" w:cstheme="minorHAnsi"/>
          <w:sz w:val="24"/>
          <w:szCs w:val="24"/>
          <w:lang w:eastAsia="de-DE"/>
        </w:rPr>
        <w:t>Dem Patienten wird einer Kopie der Versicherungsbestätigung sowie der</w:t>
      </w:r>
      <w:r w:rsidR="00FF6797">
        <w:rPr>
          <w:rFonts w:eastAsia="Times" w:cstheme="minorHAnsi"/>
          <w:sz w:val="24"/>
          <w:szCs w:val="24"/>
          <w:lang w:eastAsia="de-DE"/>
        </w:rPr>
        <w:t xml:space="preserve"> </w:t>
      </w:r>
      <w:r w:rsidR="00551030" w:rsidRPr="00893E0E">
        <w:rPr>
          <w:rFonts w:cstheme="minorHAnsi"/>
          <w:sz w:val="24"/>
          <w:szCs w:val="24"/>
        </w:rPr>
        <w:t>Einverständnis</w:t>
      </w:r>
      <w:r w:rsidR="00FF6797">
        <w:rPr>
          <w:rFonts w:cstheme="minorHAnsi"/>
          <w:sz w:val="24"/>
          <w:szCs w:val="24"/>
        </w:rPr>
        <w:t>-</w:t>
      </w:r>
      <w:r w:rsidR="00551030" w:rsidRPr="00893E0E">
        <w:rPr>
          <w:rFonts w:cstheme="minorHAnsi"/>
          <w:sz w:val="24"/>
          <w:szCs w:val="24"/>
        </w:rPr>
        <w:t>erklärung</w:t>
      </w:r>
      <w:r w:rsidR="00551030" w:rsidRPr="00893E0E">
        <w:rPr>
          <w:rFonts w:eastAsia="Times" w:cstheme="minorHAnsi"/>
          <w:sz w:val="24"/>
          <w:szCs w:val="24"/>
          <w:lang w:eastAsia="de-DE"/>
        </w:rPr>
        <w:t xml:space="preserve"> und </w:t>
      </w:r>
      <w:r w:rsidR="00551030" w:rsidRPr="00893E0E">
        <w:rPr>
          <w:rStyle w:val="cf01"/>
          <w:rFonts w:asciiTheme="minorHAnsi" w:hAnsiTheme="minorHAnsi" w:cstheme="minorHAnsi"/>
          <w:sz w:val="24"/>
          <w:szCs w:val="24"/>
        </w:rPr>
        <w:t xml:space="preserve">die Patienteninformation </w:t>
      </w:r>
      <w:r w:rsidRPr="00893E0E">
        <w:rPr>
          <w:rFonts w:eastAsia="Times" w:cstheme="minorHAnsi"/>
          <w:sz w:val="24"/>
          <w:szCs w:val="24"/>
          <w:lang w:eastAsia="de-DE"/>
        </w:rPr>
        <w:t>ausgehändigt.</w:t>
      </w:r>
      <w:r w:rsidR="00E30804" w:rsidRPr="00893E0E">
        <w:rPr>
          <w:rFonts w:eastAsia="Times" w:cstheme="minorHAnsi"/>
          <w:sz w:val="24"/>
          <w:szCs w:val="24"/>
          <w:lang w:eastAsia="de-DE"/>
        </w:rPr>
        <w:t xml:space="preserve"> </w:t>
      </w:r>
    </w:p>
    <w:p w14:paraId="1B07351B" w14:textId="6F94BEAB" w:rsidR="00551030" w:rsidRPr="00893E0E" w:rsidRDefault="00EC3240" w:rsidP="00893E0E">
      <w:pPr>
        <w:rPr>
          <w:rFonts w:eastAsia="Times" w:cstheme="minorHAnsi"/>
          <w:sz w:val="24"/>
          <w:szCs w:val="24"/>
          <w:lang w:eastAsia="de-DE"/>
        </w:rPr>
      </w:pPr>
      <w:r w:rsidRPr="00893E0E">
        <w:rPr>
          <w:rFonts w:eastAsia="Times" w:cstheme="minorHAnsi"/>
          <w:sz w:val="24"/>
          <w:szCs w:val="24"/>
          <w:lang w:eastAsia="de-DE"/>
        </w:rPr>
        <w:t xml:space="preserve">Der </w:t>
      </w:r>
      <w:r w:rsidRPr="00893E0E">
        <w:rPr>
          <w:rFonts w:cstheme="minorHAnsi"/>
          <w:sz w:val="24"/>
          <w:szCs w:val="24"/>
          <w:lang w:eastAsia="de-DE"/>
        </w:rPr>
        <w:t>Aufklärung</w:t>
      </w:r>
      <w:r w:rsidRPr="00893E0E">
        <w:rPr>
          <w:rFonts w:cstheme="minorHAnsi"/>
          <w:sz w:val="24"/>
          <w:szCs w:val="24"/>
        </w:rPr>
        <w:t>s</w:t>
      </w:r>
      <w:r w:rsidRPr="00893E0E">
        <w:rPr>
          <w:rFonts w:cstheme="minorHAnsi"/>
          <w:sz w:val="24"/>
          <w:szCs w:val="24"/>
          <w:lang w:eastAsia="de-DE"/>
        </w:rPr>
        <w:t xml:space="preserve">prozess </w:t>
      </w:r>
      <w:r w:rsidRPr="00893E0E">
        <w:rPr>
          <w:rFonts w:eastAsia="Times" w:cstheme="minorHAnsi"/>
          <w:sz w:val="24"/>
          <w:szCs w:val="24"/>
          <w:lang w:eastAsia="de-DE"/>
        </w:rPr>
        <w:t>muss in der Patientenakte dokumentiert und festgehalten werden</w:t>
      </w:r>
      <w:r w:rsidR="00094B3F" w:rsidRPr="00893E0E">
        <w:rPr>
          <w:rFonts w:eastAsia="Times" w:cstheme="minorHAnsi"/>
          <w:sz w:val="24"/>
          <w:szCs w:val="24"/>
          <w:lang w:eastAsia="de-DE"/>
        </w:rPr>
        <w:t>.</w:t>
      </w:r>
      <w:bookmarkStart w:id="0" w:name="_Hlk144464310"/>
      <w:bookmarkStart w:id="1" w:name="_Toc240864470"/>
      <w:bookmarkStart w:id="2" w:name="_Toc247697696"/>
      <w:r w:rsidR="00FF6797">
        <w:rPr>
          <w:rFonts w:eastAsia="Times" w:cstheme="minorHAnsi"/>
          <w:sz w:val="24"/>
          <w:szCs w:val="24"/>
          <w:lang w:eastAsia="de-DE"/>
        </w:rPr>
        <w:t xml:space="preserve"> </w:t>
      </w:r>
      <w:r w:rsidR="00551030" w:rsidRPr="00893E0E">
        <w:rPr>
          <w:rFonts w:eastAsia="Times" w:cstheme="minorHAnsi"/>
          <w:sz w:val="24"/>
          <w:szCs w:val="24"/>
          <w:lang w:eastAsia="de-DE"/>
        </w:rPr>
        <w:t xml:space="preserve">Es muss dokumentiert werden, wer wann den jeweiligen Prüfungsteilnehmer aufgeklärt hat und wann dieser zu der Studienteilnahme einwilligte, sowie das Datum der </w:t>
      </w:r>
      <w:proofErr w:type="spellStart"/>
      <w:r w:rsidR="00551030" w:rsidRPr="00893E0E">
        <w:rPr>
          <w:rFonts w:eastAsia="Times" w:cstheme="minorHAnsi"/>
          <w:sz w:val="24"/>
          <w:szCs w:val="24"/>
          <w:lang w:eastAsia="de-DE"/>
        </w:rPr>
        <w:t>Randomisation</w:t>
      </w:r>
      <w:proofErr w:type="spellEnd"/>
      <w:r w:rsidR="00551030" w:rsidRPr="00893E0E">
        <w:rPr>
          <w:rFonts w:eastAsia="Times" w:cstheme="minorHAnsi"/>
          <w:sz w:val="24"/>
          <w:szCs w:val="24"/>
          <w:lang w:eastAsia="de-DE"/>
        </w:rPr>
        <w:t xml:space="preserve"> und dessen Ergebnis</w:t>
      </w:r>
    </w:p>
    <w:p w14:paraId="3E0B254A" w14:textId="5CB4B3D6" w:rsidR="005677B9" w:rsidRPr="00E80A7F" w:rsidRDefault="001B3F88" w:rsidP="00E80A7F">
      <w:pPr>
        <w:pStyle w:val="Listenabsatz"/>
        <w:numPr>
          <w:ilvl w:val="0"/>
          <w:numId w:val="13"/>
        </w:numPr>
        <w:rPr>
          <w:rFonts w:cstheme="minorHAnsi"/>
          <w:b/>
          <w:bCs/>
          <w:sz w:val="24"/>
          <w:szCs w:val="24"/>
          <w:lang w:eastAsia="de-DE"/>
        </w:rPr>
      </w:pPr>
      <w:r w:rsidRPr="00E80A7F">
        <w:rPr>
          <w:rFonts w:cstheme="minorHAnsi"/>
          <w:b/>
          <w:bCs/>
          <w:sz w:val="24"/>
          <w:szCs w:val="24"/>
          <w:lang w:eastAsia="de-DE"/>
        </w:rPr>
        <w:t>Datenschutz</w:t>
      </w:r>
    </w:p>
    <w:bookmarkEnd w:id="0"/>
    <w:bookmarkEnd w:id="1"/>
    <w:bookmarkEnd w:id="2"/>
    <w:p w14:paraId="0D9131D4" w14:textId="59DB5B8E" w:rsidR="00BB50A5" w:rsidRPr="00893E0E" w:rsidRDefault="00B96C62" w:rsidP="0099535E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D6052">
        <w:rPr>
          <w:rFonts w:cstheme="minorHAnsi"/>
          <w:sz w:val="24"/>
          <w:szCs w:val="24"/>
        </w:rPr>
        <w:t xml:space="preserve">er Prüfarzt </w:t>
      </w:r>
      <w:r w:rsidR="001B3F88" w:rsidRPr="00893E0E">
        <w:rPr>
          <w:rFonts w:cstheme="minorHAnsi"/>
          <w:sz w:val="24"/>
          <w:szCs w:val="24"/>
        </w:rPr>
        <w:t>muss</w:t>
      </w:r>
      <w:r w:rsidR="00BB50A5" w:rsidRPr="00893E0E">
        <w:rPr>
          <w:rFonts w:cstheme="minorHAnsi"/>
          <w:sz w:val="24"/>
          <w:szCs w:val="24"/>
        </w:rPr>
        <w:t xml:space="preserve"> </w:t>
      </w:r>
      <w:r w:rsidR="001B3F88" w:rsidRPr="00893E0E">
        <w:rPr>
          <w:rFonts w:cstheme="minorHAnsi"/>
          <w:sz w:val="24"/>
          <w:szCs w:val="24"/>
        </w:rPr>
        <w:t>sicher</w:t>
      </w:r>
      <w:r w:rsidR="00CD6052" w:rsidRPr="00893E0E">
        <w:rPr>
          <w:rFonts w:cstheme="minorHAnsi"/>
          <w:sz w:val="24"/>
          <w:szCs w:val="24"/>
        </w:rPr>
        <w:t>stell</w:t>
      </w:r>
      <w:r w:rsidR="00CD6052">
        <w:rPr>
          <w:rFonts w:cstheme="minorHAnsi"/>
          <w:sz w:val="24"/>
          <w:szCs w:val="24"/>
        </w:rPr>
        <w:t>en,</w:t>
      </w:r>
      <w:r w:rsidR="007237CF" w:rsidRPr="00893E0E">
        <w:rPr>
          <w:rFonts w:cstheme="minorHAnsi"/>
          <w:sz w:val="24"/>
          <w:szCs w:val="24"/>
        </w:rPr>
        <w:t xml:space="preserve"> </w:t>
      </w:r>
      <w:r w:rsidR="001B3F88" w:rsidRPr="00893E0E">
        <w:rPr>
          <w:rFonts w:cstheme="minorHAnsi"/>
          <w:sz w:val="24"/>
          <w:szCs w:val="24"/>
        </w:rPr>
        <w:t>dass alle Untersuchungsmaterialen und -daten entsprechend den Datenschutzbestimmungen vor wissenschaftlichen Verwertungen adäquat pseudonymisiert werden</w:t>
      </w:r>
      <w:r w:rsidR="005B5C52" w:rsidRPr="00893E0E">
        <w:rPr>
          <w:rFonts w:cstheme="minorHAnsi"/>
          <w:sz w:val="24"/>
          <w:szCs w:val="24"/>
        </w:rPr>
        <w:t xml:space="preserve"> </w:t>
      </w:r>
      <w:r w:rsidR="005B5C52" w:rsidRPr="00B96C62">
        <w:rPr>
          <w:rFonts w:cstheme="minorHAnsi"/>
          <w:sz w:val="24"/>
          <w:szCs w:val="24"/>
        </w:rPr>
        <w:t>(</w:t>
      </w:r>
      <w:r w:rsidR="005B5C52" w:rsidRPr="00B96C62">
        <w:rPr>
          <w:rFonts w:eastAsia="Times" w:cstheme="minorHAnsi"/>
          <w:kern w:val="0"/>
          <w:sz w:val="24"/>
          <w:szCs w:val="24"/>
          <w:lang w:eastAsia="de-DE"/>
          <w14:ligatures w14:val="none"/>
        </w:rPr>
        <w:t>nach § 12 und § 13 GCP-V)</w:t>
      </w:r>
      <w:r w:rsidR="001B3F88" w:rsidRPr="00B96C62">
        <w:rPr>
          <w:rFonts w:cstheme="minorHAnsi"/>
          <w:sz w:val="24"/>
          <w:szCs w:val="24"/>
        </w:rPr>
        <w:t>.</w:t>
      </w:r>
      <w:r w:rsidR="001B3F88" w:rsidRPr="00893E0E">
        <w:rPr>
          <w:rFonts w:cstheme="minorHAnsi"/>
          <w:sz w:val="24"/>
          <w:szCs w:val="24"/>
        </w:rPr>
        <w:t xml:space="preserve"> </w:t>
      </w:r>
    </w:p>
    <w:p w14:paraId="1A2BB034" w14:textId="5FCFEC7E" w:rsidR="005677B9" w:rsidRPr="00893E0E" w:rsidRDefault="00B74348" w:rsidP="0099535E">
      <w:pPr>
        <w:pStyle w:val="KeinLeerraum"/>
        <w:rPr>
          <w:rFonts w:cstheme="minorHAnsi"/>
          <w:sz w:val="24"/>
          <w:szCs w:val="24"/>
          <w:lang w:eastAsia="de-DE"/>
        </w:rPr>
      </w:pPr>
      <w:r w:rsidRPr="00893E0E">
        <w:rPr>
          <w:rFonts w:cstheme="minorHAnsi"/>
          <w:sz w:val="24"/>
          <w:szCs w:val="24"/>
          <w:lang w:eastAsia="de-DE"/>
        </w:rPr>
        <w:lastRenderedPageBreak/>
        <w:t xml:space="preserve">Der Studienteilnehmer muss mit der Einwilligung zugleich erklärt haben, dass er mit der im Rahmen der klinischen Prüfung erfolgenden </w:t>
      </w:r>
      <w:r w:rsidR="007237CF" w:rsidRPr="00893E0E">
        <w:rPr>
          <w:rFonts w:cstheme="minorHAnsi"/>
          <w:sz w:val="24"/>
          <w:szCs w:val="24"/>
          <w:lang w:eastAsia="de-DE"/>
        </w:rPr>
        <w:t>Dokumentation</w:t>
      </w:r>
      <w:r w:rsidRPr="00893E0E">
        <w:rPr>
          <w:rFonts w:cstheme="minorHAnsi"/>
          <w:sz w:val="24"/>
          <w:szCs w:val="24"/>
          <w:lang w:eastAsia="de-DE"/>
        </w:rPr>
        <w:t xml:space="preserve"> von Daten und ihrer Überprüfung durch vom Sponsor beauftragte Personen (z.B. Monitor, Auditor) sowie durch die zuständige Überwachungs- oder Bundesbehörde einverstanden ist. </w:t>
      </w:r>
    </w:p>
    <w:p w14:paraId="7AE993B4" w14:textId="77777777" w:rsidR="005677B9" w:rsidRPr="00893E0E" w:rsidRDefault="005677B9" w:rsidP="005677B9">
      <w:pPr>
        <w:pStyle w:val="KeinLeerraum"/>
        <w:ind w:left="720"/>
        <w:rPr>
          <w:rFonts w:cstheme="minorHAnsi"/>
          <w:sz w:val="24"/>
          <w:szCs w:val="24"/>
          <w:lang w:eastAsia="de-DE"/>
        </w:rPr>
      </w:pPr>
    </w:p>
    <w:p w14:paraId="2E5E9BAA" w14:textId="77777777" w:rsidR="0099535E" w:rsidRPr="0099535E" w:rsidRDefault="0099535E" w:rsidP="00991F19">
      <w:pPr>
        <w:contextualSpacing/>
        <w:rPr>
          <w:rFonts w:eastAsia="Times New Roman" w:cs="Times New Roman"/>
          <w:b/>
          <w:bCs/>
          <w14:ligatures w14:val="none"/>
        </w:rPr>
      </w:pPr>
    </w:p>
    <w:p w14:paraId="7E86891E" w14:textId="36DFF5D6" w:rsidR="0099535E" w:rsidRPr="00E80A7F" w:rsidRDefault="0099535E" w:rsidP="00E80A7F">
      <w:pPr>
        <w:pStyle w:val="Listenabsatz"/>
        <w:numPr>
          <w:ilvl w:val="0"/>
          <w:numId w:val="13"/>
        </w:numPr>
        <w:rPr>
          <w:rFonts w:eastAsia="Times New Roman" w:cs="Times New Roman"/>
          <w:b/>
          <w:bCs/>
          <w:lang w:val="en-US"/>
          <w14:ligatures w14:val="none"/>
        </w:rPr>
      </w:pPr>
      <w:proofErr w:type="spellStart"/>
      <w:r w:rsidRPr="00E80A7F">
        <w:rPr>
          <w:rFonts w:eastAsia="Times New Roman" w:cs="Times New Roman"/>
          <w:b/>
          <w:bCs/>
          <w:lang w:val="en-US"/>
          <w14:ligatures w14:val="none"/>
        </w:rPr>
        <w:t>Abkürzungen</w:t>
      </w:r>
      <w:proofErr w:type="spellEnd"/>
    </w:p>
    <w:p w14:paraId="2BFA6320" w14:textId="77777777" w:rsidR="0099535E" w:rsidRPr="00E80A7F" w:rsidRDefault="0099535E" w:rsidP="0099535E">
      <w:pPr>
        <w:contextualSpacing/>
        <w:rPr>
          <w:rFonts w:eastAsia="Times New Roman" w:cs="Times New Roman"/>
          <w:lang w:val="en-US"/>
          <w14:ligatures w14:val="none"/>
        </w:rPr>
      </w:pPr>
    </w:p>
    <w:p w14:paraId="47C04009" w14:textId="55F4FA28" w:rsidR="0099535E" w:rsidRPr="00E473BB" w:rsidRDefault="0099535E" w:rsidP="00E80A7F">
      <w:pPr>
        <w:contextualSpacing/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</w:pP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>SOP</w:t>
      </w: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ab/>
        <w:t>Standard Operating Procedure</w:t>
      </w:r>
    </w:p>
    <w:p w14:paraId="0C043287" w14:textId="69D2A3F9" w:rsidR="0099535E" w:rsidRPr="00E473BB" w:rsidRDefault="0099535E" w:rsidP="00E80A7F">
      <w:pPr>
        <w:contextualSpacing/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</w:pP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 xml:space="preserve">GCP </w:t>
      </w: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ab/>
      </w:r>
      <w:proofErr w:type="spellStart"/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>Harmonisierte</w:t>
      </w:r>
      <w:proofErr w:type="spellEnd"/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 xml:space="preserve"> Good Clinical Practice-Guideline </w:t>
      </w:r>
      <w:r w:rsidR="00793842"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ab/>
      </w:r>
    </w:p>
    <w:p w14:paraId="75C48B0B" w14:textId="5535DA1D" w:rsidR="00FB5DE1" w:rsidRPr="00E473BB" w:rsidRDefault="00FB5DE1" w:rsidP="00E80A7F">
      <w:pPr>
        <w:contextualSpacing/>
        <w:rPr>
          <w:rFonts w:eastAsia="Times" w:cstheme="minorHAnsi"/>
          <w:i/>
          <w:iCs/>
          <w:kern w:val="0"/>
          <w:sz w:val="24"/>
          <w:szCs w:val="24"/>
          <w:lang w:val="en-US" w:eastAsia="de-DE"/>
          <w14:ligatures w14:val="none"/>
        </w:rPr>
      </w:pP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 xml:space="preserve">ICF </w:t>
      </w:r>
      <w:r w:rsidRPr="00E473BB"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  <w:tab/>
      </w:r>
      <w:r w:rsidRPr="00E473BB">
        <w:rPr>
          <w:rFonts w:eastAsia="Times" w:cstheme="minorHAnsi"/>
          <w:i/>
          <w:iCs/>
          <w:kern w:val="0"/>
          <w:sz w:val="24"/>
          <w:szCs w:val="24"/>
          <w:lang w:val="en-US" w:eastAsia="de-DE"/>
          <w14:ligatures w14:val="none"/>
        </w:rPr>
        <w:t xml:space="preserve">Informed Consent Form </w:t>
      </w:r>
    </w:p>
    <w:p w14:paraId="49A3667F" w14:textId="3E75BC2B" w:rsidR="00E473BB" w:rsidRPr="00E473BB" w:rsidRDefault="00E473BB" w:rsidP="00E80A7F">
      <w:pPr>
        <w:contextualSpacing/>
        <w:rPr>
          <w:rFonts w:eastAsia="Times New Roman" w:cs="Times New Roman"/>
          <w:i/>
          <w:iCs/>
          <w:sz w:val="24"/>
          <w:szCs w:val="24"/>
          <w:lang w:val="en-US"/>
          <w14:ligatures w14:val="none"/>
        </w:rPr>
      </w:pPr>
      <w:r w:rsidRPr="00E473BB">
        <w:rPr>
          <w:rFonts w:eastAsia="Times" w:cstheme="minorHAnsi"/>
          <w:i/>
          <w:iCs/>
          <w:kern w:val="0"/>
          <w:sz w:val="24"/>
          <w:szCs w:val="24"/>
          <w:lang w:val="en-US" w:eastAsia="de-DE"/>
          <w14:ligatures w14:val="none"/>
        </w:rPr>
        <w:t>ISF</w:t>
      </w:r>
      <w:r w:rsidRPr="00E473BB">
        <w:rPr>
          <w:rFonts w:eastAsia="Times" w:cstheme="minorHAnsi"/>
          <w:i/>
          <w:iCs/>
          <w:kern w:val="0"/>
          <w:sz w:val="24"/>
          <w:szCs w:val="24"/>
          <w:lang w:val="en-US" w:eastAsia="de-DE"/>
          <w14:ligatures w14:val="none"/>
        </w:rPr>
        <w:tab/>
      </w:r>
      <w:r w:rsidRPr="00A20600">
        <w:rPr>
          <w:i/>
          <w:iCs/>
          <w:sz w:val="24"/>
          <w:szCs w:val="24"/>
          <w:lang w:val="en-US"/>
        </w:rPr>
        <w:t>Investigator Site File</w:t>
      </w:r>
    </w:p>
    <w:p w14:paraId="1D17CD76" w14:textId="77777777" w:rsidR="005065DA" w:rsidRDefault="005065DA" w:rsidP="00FE6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</w:p>
    <w:p w14:paraId="43CCEDD6" w14:textId="72BC4734" w:rsidR="005065DA" w:rsidRPr="00422709" w:rsidRDefault="00A20600" w:rsidP="00FE6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  <w:proofErr w:type="spellStart"/>
      <w:r w:rsidRPr="00A20600">
        <w:rPr>
          <w:rFonts w:ascii="Arial" w:hAnsi="Arial" w:cs="Arial"/>
          <w:kern w:val="0"/>
          <w:sz w:val="20"/>
          <w:szCs w:val="20"/>
          <w:lang w:val="en-US"/>
        </w:rPr>
        <w:t>Referenzen</w:t>
      </w:r>
      <w:proofErr w:type="spellEnd"/>
    </w:p>
    <w:p w14:paraId="38E10A7F" w14:textId="1CBD79D2" w:rsidR="00991F19" w:rsidRPr="00422709" w:rsidRDefault="00991F19" w:rsidP="00991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lang w:val="en-US"/>
        </w:rPr>
      </w:pPr>
      <w:r w:rsidRPr="00422709">
        <w:rPr>
          <w:rFonts w:ascii="Calibri" w:hAnsi="Calibri" w:cs="Calibri"/>
          <w:kern w:val="0"/>
          <w:lang w:val="en-US"/>
        </w:rPr>
        <w:t xml:space="preserve">https://www.ema.europa.eu/en </w:t>
      </w:r>
    </w:p>
    <w:p w14:paraId="2C5C6D46" w14:textId="3414A0BC" w:rsidR="00991F19" w:rsidRPr="00422709" w:rsidRDefault="00991F19" w:rsidP="00991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lang w:val="en-US"/>
        </w:rPr>
      </w:pPr>
      <w:r w:rsidRPr="00422709">
        <w:rPr>
          <w:rFonts w:ascii="Calibri" w:hAnsi="Calibri" w:cs="Calibri"/>
          <w:kern w:val="0"/>
          <w:lang w:val="en-US"/>
        </w:rPr>
        <w:t xml:space="preserve">https://ec.europa.eu/health/documents/eudralex/vol-10_en </w:t>
      </w:r>
    </w:p>
    <w:p w14:paraId="64A51180" w14:textId="362593A0" w:rsidR="00B66995" w:rsidRDefault="00991F19" w:rsidP="00991F19">
      <w:pPr>
        <w:pStyle w:val="KeinLeerraum"/>
        <w:rPr>
          <w:rFonts w:ascii="Calibri" w:hAnsi="Calibri" w:cs="Calibri"/>
          <w:kern w:val="0"/>
          <w:lang w:val="en-US"/>
        </w:rPr>
      </w:pPr>
      <w:r w:rsidRPr="00422709">
        <w:rPr>
          <w:rFonts w:ascii="Calibri" w:hAnsi="Calibri" w:cs="Calibri"/>
          <w:kern w:val="0"/>
          <w:lang w:val="en-US"/>
        </w:rPr>
        <w:t xml:space="preserve">https://www.bfarm.de/DE/Arzneimittel/Arzneimittelzulassung/KlinischePruefung/KPs_bei_COVID-19.html  </w:t>
      </w:r>
    </w:p>
    <w:p w14:paraId="7DD94F1A" w14:textId="77777777" w:rsidR="008F6CE7" w:rsidRDefault="008F6CE7" w:rsidP="008F6CE7">
      <w:pPr>
        <w:pStyle w:val="KeinLeerraum"/>
        <w:rPr>
          <w:rFonts w:cstheme="minorHAnsi"/>
          <w:lang w:val="en-US"/>
        </w:rPr>
      </w:pPr>
    </w:p>
    <w:p w14:paraId="01ED9A75" w14:textId="6192A7F4" w:rsidR="008F6CE7" w:rsidRPr="008F6CE7" w:rsidRDefault="008F6CE7" w:rsidP="008F6CE7">
      <w:pPr>
        <w:pStyle w:val="Listenabsatz"/>
        <w:numPr>
          <w:ilvl w:val="0"/>
          <w:numId w:val="13"/>
        </w:numPr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8F6CE7">
        <w:rPr>
          <w:rFonts w:eastAsia="Times New Roman" w:cs="Times New Roman"/>
          <w:b/>
          <w:bCs/>
          <w:lang w:val="en-US"/>
          <w14:ligatures w14:val="none"/>
        </w:rPr>
        <w:t>Versionshistorie</w:t>
      </w:r>
      <w:proofErr w:type="spellEnd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CE7" w:rsidRPr="008F6CE7" w14:paraId="5B425573" w14:textId="77777777" w:rsidTr="00A92CAE">
        <w:tc>
          <w:tcPr>
            <w:tcW w:w="3020" w:type="dxa"/>
            <w:tcBorders>
              <w:top w:val="single" w:sz="4" w:space="0" w:color="auto"/>
            </w:tcBorders>
          </w:tcPr>
          <w:p w14:paraId="134B2F55" w14:textId="77777777" w:rsidR="008F6CE7" w:rsidRPr="008F6CE7" w:rsidRDefault="008F6CE7" w:rsidP="008F6CE7">
            <w:pPr>
              <w:jc w:val="both"/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  <w:t>Version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6638588" w14:textId="77777777" w:rsidR="008F6CE7" w:rsidRPr="008F6CE7" w:rsidRDefault="008F6CE7" w:rsidP="008F6CE7">
            <w:pPr>
              <w:jc w:val="both"/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  <w:t>Gültig ab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3067EFB" w14:textId="77777777" w:rsidR="008F6CE7" w:rsidRPr="008F6CE7" w:rsidRDefault="008F6CE7" w:rsidP="008F6CE7">
            <w:pPr>
              <w:jc w:val="both"/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b/>
                <w:bCs/>
                <w:color w:val="000000" w:themeColor="text1"/>
                <w:u w:color="000000" w:themeColor="text1"/>
              </w:rPr>
              <w:t>Änderungsgrund</w:t>
            </w:r>
          </w:p>
        </w:tc>
      </w:tr>
      <w:tr w:rsidR="008F6CE7" w:rsidRPr="008F6CE7" w14:paraId="6FD41D2A" w14:textId="77777777" w:rsidTr="00A92CAE">
        <w:tc>
          <w:tcPr>
            <w:tcW w:w="3020" w:type="dxa"/>
          </w:tcPr>
          <w:p w14:paraId="1AD4F6C5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color w:val="000000" w:themeColor="text1"/>
                <w:u w:color="000000" w:themeColor="text1"/>
              </w:rPr>
              <w:t>1.0</w:t>
            </w:r>
          </w:p>
        </w:tc>
        <w:tc>
          <w:tcPr>
            <w:tcW w:w="3021" w:type="dxa"/>
          </w:tcPr>
          <w:p w14:paraId="770B9CCF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color w:val="000000" w:themeColor="text1"/>
                <w:u w:color="000000" w:themeColor="text1"/>
              </w:rPr>
              <w:t>19.09.2023</w:t>
            </w:r>
          </w:p>
        </w:tc>
        <w:tc>
          <w:tcPr>
            <w:tcW w:w="3021" w:type="dxa"/>
          </w:tcPr>
          <w:p w14:paraId="138BA8B6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  <w:r w:rsidRPr="008F6CE7">
              <w:rPr>
                <w:rFonts w:ascii="Arial" w:hAnsi="Arial"/>
                <w:color w:val="000000" w:themeColor="text1"/>
                <w:u w:color="000000" w:themeColor="text1"/>
              </w:rPr>
              <w:t>Neuerstellung</w:t>
            </w:r>
          </w:p>
        </w:tc>
      </w:tr>
      <w:tr w:rsidR="008F6CE7" w:rsidRPr="008F6CE7" w14:paraId="5BD02F5D" w14:textId="77777777" w:rsidTr="00A92CAE">
        <w:tc>
          <w:tcPr>
            <w:tcW w:w="3020" w:type="dxa"/>
          </w:tcPr>
          <w:p w14:paraId="376FC64D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  <w:tc>
          <w:tcPr>
            <w:tcW w:w="3021" w:type="dxa"/>
          </w:tcPr>
          <w:p w14:paraId="56173D21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  <w:tc>
          <w:tcPr>
            <w:tcW w:w="3021" w:type="dxa"/>
          </w:tcPr>
          <w:p w14:paraId="54910DED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</w:tr>
      <w:tr w:rsidR="008F6CE7" w:rsidRPr="008F6CE7" w14:paraId="1543DAEE" w14:textId="77777777" w:rsidTr="00A92CAE">
        <w:tc>
          <w:tcPr>
            <w:tcW w:w="3020" w:type="dxa"/>
          </w:tcPr>
          <w:p w14:paraId="5CB5DCB3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  <w:tc>
          <w:tcPr>
            <w:tcW w:w="3021" w:type="dxa"/>
          </w:tcPr>
          <w:p w14:paraId="47E097AB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  <w:tc>
          <w:tcPr>
            <w:tcW w:w="3021" w:type="dxa"/>
          </w:tcPr>
          <w:p w14:paraId="0E275065" w14:textId="77777777" w:rsidR="008F6CE7" w:rsidRPr="008F6CE7" w:rsidRDefault="008F6CE7" w:rsidP="008F6CE7">
            <w:pPr>
              <w:jc w:val="both"/>
              <w:rPr>
                <w:rFonts w:ascii="Arial" w:hAnsi="Arial"/>
                <w:color w:val="000000" w:themeColor="text1"/>
                <w:u w:color="000000" w:themeColor="text1"/>
              </w:rPr>
            </w:pPr>
          </w:p>
        </w:tc>
      </w:tr>
    </w:tbl>
    <w:p w14:paraId="6732A4B1" w14:textId="77777777" w:rsidR="008F6CE7" w:rsidRPr="008F6CE7" w:rsidRDefault="008F6CE7" w:rsidP="008F6C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0136555" w14:textId="1CE4F80A" w:rsidR="008F6CE7" w:rsidRPr="008F6CE7" w:rsidRDefault="008F6CE7" w:rsidP="008F6CE7">
      <w:pPr>
        <w:pStyle w:val="KeinLeerraum"/>
        <w:rPr>
          <w:lang w:val="en-US"/>
        </w:rPr>
      </w:pPr>
    </w:p>
    <w:sectPr w:rsidR="008F6CE7" w:rsidRPr="008F6C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2621" w14:textId="77777777" w:rsidR="00597119" w:rsidRDefault="00597119" w:rsidP="00F1252B">
      <w:pPr>
        <w:spacing w:after="0" w:line="240" w:lineRule="auto"/>
      </w:pPr>
      <w:r>
        <w:separator/>
      </w:r>
    </w:p>
  </w:endnote>
  <w:endnote w:type="continuationSeparator" w:id="0">
    <w:p w14:paraId="489DDDDE" w14:textId="77777777" w:rsidR="00597119" w:rsidRDefault="00597119" w:rsidP="00F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0EFE" w14:textId="77777777" w:rsidR="003B5881" w:rsidRDefault="003B58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4"/>
      <w:gridCol w:w="3255"/>
      <w:gridCol w:w="2189"/>
    </w:tblGrid>
    <w:tr w:rsidR="003B5881" w14:paraId="3713303F" w14:textId="77777777" w:rsidTr="000C2214">
      <w:trPr>
        <w:trHeight w:val="510"/>
        <w:jc w:val="center"/>
      </w:trPr>
      <w:tc>
        <w:tcPr>
          <w:tcW w:w="2182" w:type="pct"/>
          <w:shd w:val="clear" w:color="auto" w:fill="auto"/>
        </w:tcPr>
        <w:p w14:paraId="358CDCC6" w14:textId="77777777" w:rsidR="003B5881" w:rsidRPr="008D0A97" w:rsidRDefault="003B5881" w:rsidP="003B5881">
          <w:pPr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77FE7330" w14:textId="77777777" w:rsidR="003B5881" w:rsidRPr="003B5881" w:rsidRDefault="003B5881" w:rsidP="003B5881">
          <w:pPr>
            <w:rPr>
              <w:rFonts w:ascii="Calibri" w:hAnsi="Calibri"/>
            </w:rPr>
          </w:pPr>
          <w:r w:rsidRPr="003B5881">
            <w:rPr>
              <w:rFonts w:ascii="Calibri" w:hAnsi="Calibri"/>
            </w:rPr>
            <w:t xml:space="preserve">Gültig ab: </w:t>
          </w:r>
          <w:r w:rsidRPr="003B5881">
            <w:rPr>
              <w:rFonts w:ascii="Calibri" w:hAnsi="Calibri"/>
              <w:highlight w:val="yellow"/>
            </w:rPr>
            <w:t>Freigabedatum eintragen</w:t>
          </w:r>
        </w:p>
        <w:p w14:paraId="779601C7" w14:textId="77777777" w:rsidR="003B5881" w:rsidRPr="003B5881" w:rsidRDefault="003B5881" w:rsidP="003B5881">
          <w:pPr>
            <w:rPr>
              <w:rFonts w:ascii="Calibri" w:hAnsi="Calibri"/>
            </w:rPr>
          </w:pPr>
          <w:r w:rsidRPr="003B5881">
            <w:rPr>
              <w:rFonts w:ascii="Calibri" w:hAnsi="Calibri"/>
            </w:rPr>
            <w:t xml:space="preserve">Freigabe durch: </w:t>
          </w:r>
          <w:r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50CF2D8C" w14:textId="77777777" w:rsidR="003B5881" w:rsidRPr="00725B62" w:rsidRDefault="003B5881" w:rsidP="003B5881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5F1592F6" w14:textId="77777777" w:rsidR="00F1252B" w:rsidRDefault="00F125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42BB" w14:textId="77777777" w:rsidR="003B5881" w:rsidRDefault="003B5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395E" w14:textId="77777777" w:rsidR="00597119" w:rsidRDefault="00597119" w:rsidP="00F1252B">
      <w:pPr>
        <w:spacing w:after="0" w:line="240" w:lineRule="auto"/>
      </w:pPr>
      <w:r>
        <w:separator/>
      </w:r>
    </w:p>
  </w:footnote>
  <w:footnote w:type="continuationSeparator" w:id="0">
    <w:p w14:paraId="30699B1C" w14:textId="77777777" w:rsidR="00597119" w:rsidRDefault="00597119" w:rsidP="00F1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CF8" w14:textId="7C2075DA" w:rsidR="003B5881" w:rsidRDefault="008F6CE7">
    <w:pPr>
      <w:pStyle w:val="Kopfzeile"/>
    </w:pPr>
    <w:r>
      <w:rPr>
        <w:noProof/>
      </w:rPr>
      <w:pict w14:anchorId="4AD22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11735" o:spid="_x0000_s1026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C7C" w14:textId="19625C06" w:rsidR="00F1252B" w:rsidRDefault="008F6CE7">
    <w:pPr>
      <w:pStyle w:val="Kopfzeile"/>
    </w:pPr>
    <w:r>
      <w:rPr>
        <w:noProof/>
      </w:rPr>
      <w:pict w14:anchorId="02588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11736" o:spid="_x0000_s1027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7"/>
      <w:gridCol w:w="7626"/>
    </w:tblGrid>
    <w:tr w:rsidR="001F0ECA" w14:paraId="5812E9C5" w14:textId="77777777" w:rsidTr="001F0ECA">
      <w:tc>
        <w:tcPr>
          <w:tcW w:w="769" w:type="pct"/>
          <w:vMerge w:val="restart"/>
        </w:tcPr>
        <w:p w14:paraId="0896BC37" w14:textId="77777777" w:rsidR="001F0ECA" w:rsidRPr="00BC3105" w:rsidRDefault="001F0ECA" w:rsidP="001F0ECA">
          <w:pPr>
            <w:jc w:val="center"/>
            <w:rPr>
              <w:rFonts w:cstheme="minorHAnsi"/>
              <w:b/>
            </w:rPr>
          </w:pPr>
          <w:r w:rsidRPr="00BC3105">
            <w:rPr>
              <w:rFonts w:cstheme="minorHAnsi"/>
              <w:noProof/>
              <w:highlight w:val="yellow"/>
            </w:rPr>
            <w:t>Studienlogo einfügen wenn studienspez., ansonsten Site-Logo</w:t>
          </w:r>
        </w:p>
      </w:tc>
      <w:tc>
        <w:tcPr>
          <w:tcW w:w="4231" w:type="pct"/>
          <w:shd w:val="clear" w:color="auto" w:fill="auto"/>
          <w:vAlign w:val="center"/>
        </w:tcPr>
        <w:p w14:paraId="19BF39A3" w14:textId="77777777" w:rsidR="001F0ECA" w:rsidRPr="00BC3105" w:rsidRDefault="001F0ECA" w:rsidP="001F0ECA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BC3105">
            <w:rPr>
              <w:rFonts w:cstheme="minorHAnsi"/>
              <w:b/>
              <w:sz w:val="28"/>
              <w:szCs w:val="28"/>
            </w:rPr>
            <w:t>SOP</w:t>
          </w:r>
        </w:p>
      </w:tc>
    </w:tr>
    <w:tr w:rsidR="001F0ECA" w14:paraId="32B07218" w14:textId="77777777" w:rsidTr="001F0ECA">
      <w:tc>
        <w:tcPr>
          <w:tcW w:w="769" w:type="pct"/>
          <w:vMerge/>
        </w:tcPr>
        <w:p w14:paraId="689F1650" w14:textId="77777777" w:rsidR="001F0ECA" w:rsidRPr="00EA3A34" w:rsidRDefault="001F0ECA" w:rsidP="001F0ECA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4231" w:type="pct"/>
          <w:shd w:val="clear" w:color="auto" w:fill="auto"/>
          <w:vAlign w:val="center"/>
        </w:tcPr>
        <w:p w14:paraId="585C472E" w14:textId="77777777" w:rsidR="001F0ECA" w:rsidRDefault="001F0ECA" w:rsidP="001F0ECA">
          <w:pPr>
            <w:jc w:val="center"/>
            <w:rPr>
              <w:rFonts w:cstheme="minorHAnsi"/>
              <w:b/>
            </w:rPr>
          </w:pPr>
          <w:r w:rsidRPr="00BC3105">
            <w:rPr>
              <w:rFonts w:cstheme="minorHAnsi"/>
              <w:b/>
            </w:rPr>
            <w:fldChar w:fldCharType="begin"/>
          </w:r>
          <w:r w:rsidRPr="00BC3105">
            <w:rPr>
              <w:rFonts w:cstheme="minorHAnsi"/>
              <w:b/>
            </w:rPr>
            <w:instrText xml:space="preserve"> DOCVARIABLE CS.ID.13 \* MERGEFORMAT </w:instrText>
          </w:r>
          <w:r w:rsidRPr="00BC3105">
            <w:rPr>
              <w:rFonts w:cstheme="minorHAnsi"/>
              <w:b/>
            </w:rPr>
            <w:fldChar w:fldCharType="separate"/>
          </w:r>
          <w:r w:rsidRPr="00F1252B">
            <w:rPr>
              <w:b/>
              <w:bCs/>
              <w:sz w:val="32"/>
              <w:szCs w:val="32"/>
            </w:rPr>
            <w:t xml:space="preserve"> Einholung Einverständnis</w:t>
          </w:r>
          <w:r w:rsidRPr="00BC3105">
            <w:rPr>
              <w:rFonts w:cstheme="minorHAnsi"/>
              <w:b/>
            </w:rPr>
            <w:t xml:space="preserve"> </w:t>
          </w:r>
          <w:r w:rsidRPr="00BC3105">
            <w:rPr>
              <w:rFonts w:cstheme="minorHAnsi"/>
              <w:b/>
            </w:rPr>
            <w:fldChar w:fldCharType="end"/>
          </w:r>
          <w:r w:rsidRPr="00BC3105">
            <w:rPr>
              <w:rFonts w:cstheme="minorHAnsi"/>
              <w:b/>
            </w:rPr>
            <w:t xml:space="preserve"> </w:t>
          </w:r>
        </w:p>
        <w:p w14:paraId="2644A667" w14:textId="3DAE0756" w:rsidR="001F0ECA" w:rsidRPr="00BC3105" w:rsidRDefault="001F0ECA" w:rsidP="001F0ECA">
          <w:pPr>
            <w:jc w:val="center"/>
            <w:rPr>
              <w:rFonts w:cstheme="minorHAnsi"/>
              <w:b/>
              <w:sz w:val="18"/>
              <w:szCs w:val="18"/>
            </w:rPr>
          </w:pPr>
          <w:r w:rsidRPr="00BC3105">
            <w:rPr>
              <w:rFonts w:cstheme="minorHAnsi"/>
              <w:b/>
              <w:sz w:val="18"/>
              <w:szCs w:val="18"/>
            </w:rPr>
            <w:t>CONFIDENTIAL</w:t>
          </w:r>
        </w:p>
      </w:tc>
    </w:tr>
  </w:tbl>
  <w:p w14:paraId="256EA988" w14:textId="77777777" w:rsidR="001F0ECA" w:rsidRDefault="001F0E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68E" w14:textId="10D1597B" w:rsidR="003B5881" w:rsidRDefault="008F6CE7">
    <w:pPr>
      <w:pStyle w:val="Kopfzeile"/>
    </w:pPr>
    <w:r>
      <w:rPr>
        <w:noProof/>
      </w:rPr>
      <w:pict w14:anchorId="58716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111734" o:spid="_x0000_s1025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6622DC"/>
    <w:lvl w:ilvl="0">
      <w:numFmt w:val="bullet"/>
      <w:lvlText w:val="*"/>
      <w:lvlJc w:val="left"/>
    </w:lvl>
  </w:abstractNum>
  <w:abstractNum w:abstractNumId="1" w15:restartNumberingAfterBreak="0">
    <w:nsid w:val="07AE6001"/>
    <w:multiLevelType w:val="hybridMultilevel"/>
    <w:tmpl w:val="C06218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51D"/>
    <w:multiLevelType w:val="hybridMultilevel"/>
    <w:tmpl w:val="D2A49A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7E8F"/>
    <w:multiLevelType w:val="hybridMultilevel"/>
    <w:tmpl w:val="03400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DC2"/>
    <w:multiLevelType w:val="hybridMultilevel"/>
    <w:tmpl w:val="2A36E5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233A"/>
    <w:multiLevelType w:val="hybridMultilevel"/>
    <w:tmpl w:val="4038F3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EBA"/>
    <w:multiLevelType w:val="hybridMultilevel"/>
    <w:tmpl w:val="0DDC1A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4F1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196BDE"/>
    <w:multiLevelType w:val="hybridMultilevel"/>
    <w:tmpl w:val="D58E33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339E"/>
    <w:multiLevelType w:val="hybridMultilevel"/>
    <w:tmpl w:val="E79CF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3BA0"/>
    <w:multiLevelType w:val="hybridMultilevel"/>
    <w:tmpl w:val="42E2451A"/>
    <w:lvl w:ilvl="0" w:tplc="63DA1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6B0A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E1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67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3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C6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EA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5CF7"/>
    <w:multiLevelType w:val="hybridMultilevel"/>
    <w:tmpl w:val="85AE08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752CF"/>
    <w:multiLevelType w:val="hybridMultilevel"/>
    <w:tmpl w:val="EAA8BE24"/>
    <w:lvl w:ilvl="0" w:tplc="E72C3BF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9F4"/>
    <w:multiLevelType w:val="hybridMultilevel"/>
    <w:tmpl w:val="C9ECE404"/>
    <w:lvl w:ilvl="0" w:tplc="BFDE52D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B583D"/>
    <w:multiLevelType w:val="hybridMultilevel"/>
    <w:tmpl w:val="B372CA08"/>
    <w:lvl w:ilvl="0" w:tplc="51B04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8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85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E2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64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3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A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89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80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50DA"/>
    <w:multiLevelType w:val="hybridMultilevel"/>
    <w:tmpl w:val="E550F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03378">
    <w:abstractNumId w:val="1"/>
  </w:num>
  <w:num w:numId="2" w16cid:durableId="1748308743">
    <w:abstractNumId w:val="5"/>
  </w:num>
  <w:num w:numId="3" w16cid:durableId="333843787">
    <w:abstractNumId w:val="10"/>
  </w:num>
  <w:num w:numId="4" w16cid:durableId="1117211517">
    <w:abstractNumId w:val="6"/>
  </w:num>
  <w:num w:numId="5" w16cid:durableId="117265713">
    <w:abstractNumId w:val="2"/>
  </w:num>
  <w:num w:numId="6" w16cid:durableId="1866793915">
    <w:abstractNumId w:val="14"/>
  </w:num>
  <w:num w:numId="7" w16cid:durableId="148716443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 w16cid:durableId="302656967">
    <w:abstractNumId w:val="11"/>
  </w:num>
  <w:num w:numId="9" w16cid:durableId="116411732">
    <w:abstractNumId w:val="8"/>
  </w:num>
  <w:num w:numId="10" w16cid:durableId="1381976769">
    <w:abstractNumId w:val="4"/>
  </w:num>
  <w:num w:numId="11" w16cid:durableId="1246961328">
    <w:abstractNumId w:val="3"/>
  </w:num>
  <w:num w:numId="12" w16cid:durableId="402332491">
    <w:abstractNumId w:val="7"/>
  </w:num>
  <w:num w:numId="13" w16cid:durableId="886842703">
    <w:abstractNumId w:val="12"/>
  </w:num>
  <w:num w:numId="14" w16cid:durableId="633294051">
    <w:abstractNumId w:val="13"/>
  </w:num>
  <w:num w:numId="15" w16cid:durableId="1644045322">
    <w:abstractNumId w:val="9"/>
  </w:num>
  <w:num w:numId="16" w16cid:durableId="1028499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3B"/>
    <w:rsid w:val="00023F4D"/>
    <w:rsid w:val="00030F8D"/>
    <w:rsid w:val="00060B70"/>
    <w:rsid w:val="00094B3F"/>
    <w:rsid w:val="000B539A"/>
    <w:rsid w:val="000F62EA"/>
    <w:rsid w:val="001016E3"/>
    <w:rsid w:val="001458D7"/>
    <w:rsid w:val="00160EE9"/>
    <w:rsid w:val="001645D8"/>
    <w:rsid w:val="001850CD"/>
    <w:rsid w:val="001B3F88"/>
    <w:rsid w:val="001F0ECA"/>
    <w:rsid w:val="001F5D11"/>
    <w:rsid w:val="002430A1"/>
    <w:rsid w:val="00245AF4"/>
    <w:rsid w:val="00252B7C"/>
    <w:rsid w:val="0025478F"/>
    <w:rsid w:val="0031181D"/>
    <w:rsid w:val="00320B98"/>
    <w:rsid w:val="00390084"/>
    <w:rsid w:val="003B5881"/>
    <w:rsid w:val="003D3094"/>
    <w:rsid w:val="003E602E"/>
    <w:rsid w:val="003F6AB3"/>
    <w:rsid w:val="00422709"/>
    <w:rsid w:val="00465F9A"/>
    <w:rsid w:val="004A1FF4"/>
    <w:rsid w:val="004A5A21"/>
    <w:rsid w:val="004D04F3"/>
    <w:rsid w:val="004E1CD3"/>
    <w:rsid w:val="005065DA"/>
    <w:rsid w:val="00551030"/>
    <w:rsid w:val="005677B9"/>
    <w:rsid w:val="00580C7B"/>
    <w:rsid w:val="00595ADF"/>
    <w:rsid w:val="00597119"/>
    <w:rsid w:val="005B5C52"/>
    <w:rsid w:val="00631B62"/>
    <w:rsid w:val="00677B4E"/>
    <w:rsid w:val="006D2E82"/>
    <w:rsid w:val="006F71DB"/>
    <w:rsid w:val="007237CF"/>
    <w:rsid w:val="00743229"/>
    <w:rsid w:val="00754B7E"/>
    <w:rsid w:val="0078780A"/>
    <w:rsid w:val="00793842"/>
    <w:rsid w:val="007961E9"/>
    <w:rsid w:val="007B7965"/>
    <w:rsid w:val="007F66A8"/>
    <w:rsid w:val="00831DB7"/>
    <w:rsid w:val="00893E0E"/>
    <w:rsid w:val="008B24D9"/>
    <w:rsid w:val="008D7DD5"/>
    <w:rsid w:val="008F6CE7"/>
    <w:rsid w:val="00972D68"/>
    <w:rsid w:val="0097682F"/>
    <w:rsid w:val="00991F19"/>
    <w:rsid w:val="0099535E"/>
    <w:rsid w:val="009A39A0"/>
    <w:rsid w:val="00A20600"/>
    <w:rsid w:val="00A90BBA"/>
    <w:rsid w:val="00A92283"/>
    <w:rsid w:val="00A95292"/>
    <w:rsid w:val="00AC1808"/>
    <w:rsid w:val="00AC4E04"/>
    <w:rsid w:val="00AD763D"/>
    <w:rsid w:val="00AF2836"/>
    <w:rsid w:val="00AF44A7"/>
    <w:rsid w:val="00B34AC9"/>
    <w:rsid w:val="00B527FE"/>
    <w:rsid w:val="00B66995"/>
    <w:rsid w:val="00B74348"/>
    <w:rsid w:val="00B96C62"/>
    <w:rsid w:val="00BB50A5"/>
    <w:rsid w:val="00BD1C01"/>
    <w:rsid w:val="00C07CE0"/>
    <w:rsid w:val="00C2267A"/>
    <w:rsid w:val="00C50A8D"/>
    <w:rsid w:val="00C90A88"/>
    <w:rsid w:val="00CD6052"/>
    <w:rsid w:val="00D22DF5"/>
    <w:rsid w:val="00D35877"/>
    <w:rsid w:val="00DB474B"/>
    <w:rsid w:val="00E27B89"/>
    <w:rsid w:val="00E30804"/>
    <w:rsid w:val="00E473BB"/>
    <w:rsid w:val="00E74CF4"/>
    <w:rsid w:val="00E80A7F"/>
    <w:rsid w:val="00E80D14"/>
    <w:rsid w:val="00EC3240"/>
    <w:rsid w:val="00F1252B"/>
    <w:rsid w:val="00F3553B"/>
    <w:rsid w:val="00F9406C"/>
    <w:rsid w:val="00FB5DE1"/>
    <w:rsid w:val="00FE54CA"/>
    <w:rsid w:val="00FE612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0ACB"/>
  <w15:chartTrackingRefBased/>
  <w15:docId w15:val="{6A4ADE14-5570-4FF8-9C85-BCE6C18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181D"/>
    <w:pPr>
      <w:ind w:left="720"/>
      <w:contextualSpacing/>
    </w:pPr>
  </w:style>
  <w:style w:type="paragraph" w:styleId="KeinLeerraum">
    <w:name w:val="No Spacing"/>
    <w:aliases w:val="Text"/>
    <w:uiPriority w:val="1"/>
    <w:qFormat/>
    <w:rsid w:val="00BB50A5"/>
    <w:pPr>
      <w:spacing w:after="0" w:line="240" w:lineRule="auto"/>
    </w:pPr>
  </w:style>
  <w:style w:type="paragraph" w:styleId="berarbeitung">
    <w:name w:val="Revision"/>
    <w:hidden/>
    <w:uiPriority w:val="99"/>
    <w:semiHidden/>
    <w:rsid w:val="0025478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4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7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7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78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52B"/>
  </w:style>
  <w:style w:type="paragraph" w:styleId="Fuzeile">
    <w:name w:val="footer"/>
    <w:basedOn w:val="Standard"/>
    <w:link w:val="FuzeileZchn"/>
    <w:uiPriority w:val="99"/>
    <w:unhideWhenUsed/>
    <w:rsid w:val="00F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52B"/>
  </w:style>
  <w:style w:type="table" w:styleId="Tabellenraster">
    <w:name w:val="Table Grid"/>
    <w:basedOn w:val="NormaleTabelle"/>
    <w:uiPriority w:val="39"/>
    <w:rsid w:val="00F1252B"/>
    <w:pPr>
      <w:spacing w:after="0" w:line="240" w:lineRule="auto"/>
    </w:pPr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24D9"/>
    <w:rPr>
      <w:color w:val="0000FF"/>
      <w:u w:val="single"/>
    </w:rPr>
  </w:style>
  <w:style w:type="character" w:customStyle="1" w:styleId="cf01">
    <w:name w:val="cf01"/>
    <w:basedOn w:val="Absatz-Standardschriftart"/>
    <w:rsid w:val="00245AF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B6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arkedcontent">
    <w:name w:val="markedcontent"/>
    <w:basedOn w:val="Absatz-Standardschriftart"/>
    <w:rsid w:val="00580C7B"/>
  </w:style>
  <w:style w:type="table" w:customStyle="1" w:styleId="Tabellenraster1">
    <w:name w:val="Tabellenraster1"/>
    <w:basedOn w:val="NormaleTabelle"/>
    <w:next w:val="Tabellenraster"/>
    <w:uiPriority w:val="39"/>
    <w:rsid w:val="008F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433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328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044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89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7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00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048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041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6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326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5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-kottmann.de/de/medizinproduktegesetz-mpg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o-kottmann.de/de/arzneimittelgesetz-amg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ro-kottmann.de/de/deklaration-von-helsin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-kottmann.de/de/gcp-good-clinical-practis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Tejondon, Patrick</dc:creator>
  <cp:keywords/>
  <dc:description/>
  <cp:lastModifiedBy>Covic, Ana</cp:lastModifiedBy>
  <cp:revision>6</cp:revision>
  <dcterms:created xsi:type="dcterms:W3CDTF">2023-10-05T07:39:00Z</dcterms:created>
  <dcterms:modified xsi:type="dcterms:W3CDTF">2023-10-09T09:08:00Z</dcterms:modified>
</cp:coreProperties>
</file>